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Power Platform ALM: govern one release path</w:t>
      </w:r>
    </w:p>
    <w:p>
      <w:pPr>
        <w:pStyle w:val="Heading1"/>
      </w:pPr>
      <w:r>
        <w:t xml:space="preserve">Contents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Executive Summary</w:t>
      </w:r>
    </w:p>
    <w:p>
      <w:r>
        <w:t xml:space="preserve">1. One platform</w:t>
      </w:r>
    </w:p>
    <w:p>
      <w:r>
        <w:t xml:space="preserve">2. Managed artifact</w:t>
      </w:r>
    </w:p>
    <w:p>
      <w:r>
        <w:t xml:space="preserve">3. Config and data</w:t>
      </w:r>
    </w:p>
    <w:p>
      <w:r>
        <w:t xml:space="preserve">4. Release gate</w:t>
      </w:r>
    </w:p>
    <w:p>
      <w:r>
        <w:t xml:space="preserve">Citations</w:t>
      </w:r>
      <w:r>
        <w:fldChar w:fldCharType="end"/>
      </w:r>
    </w:p>
    <w:p>
      <w:pPr>
        <w:pStyle w:val="Heading1"/>
      </w:pPr>
      <w:r>
        <w:t xml:space="preserve">Executive Summary</w:t>
      </w:r>
    </w:p>
    <w:p>
      <w:r>
        <w:t xml:space="preserve">Bottom line: use one ALM path; ship a managed artifact, set target config, move data apart, and do DLP, test, license and approval checks before final go-live.</w:t>
      </w:r>
    </w:p>
    <w:p>
      <w:r>
        <w:t xml:space="preserve">Audience: Executive decision-makers</w:t>
      </w:r>
    </w:p>
    <w:p>
      <w:r>
        <w:t xml:space="preserve">Decision: Fund one governed ALM path; ship managed artifacts and move data separately.</w:t>
      </w:r>
    </w:p>
    <w:p>
      <w:pPr>
        <w:pStyle w:val="Heading2"/>
      </w:pPr>
      <w:r>
        <w:t xml:space="preserve">Narration</w:t>
      </w:r>
    </w:p>
    <w:p>
      <w:r>
        <w:t xml:space="preserve">Bottom line: use one ALM path; ship a managed artifact, set target config, move data apart, and do DLP, test, license and approval checks before final go-live.</w:t>
      </w:r>
    </w:p>
    <w:p>
      <w:r>
        <w:t xml:space="preserve">Treat the suite as one platform for apps, flows, sites, agents and Dataverse data. Put lifecycle, security, test and release choices in one clear decision frame.</w:t>
      </w:r>
    </w:p>
    <w:p>
      <w:r>
        <w:t xml:space="preserve">Build change in an unmanaged solution, with source control as the source of truth. Export a managed solution as the build artifact that test and production receive.</w:t>
      </w:r>
    </w:p>
    <w:p>
      <w:r>
        <w:t xml:space="preserve">Keep configuration and business records on separate tracks. Set connections, references and variables per target, then migrate table rows, because solutions carry no data.</w:t>
      </w:r>
    </w:p>
    <w:p>
      <w:r>
        <w:t xml:space="preserve">Automate with pipelines, or use Azure DevOps or GitHub when the route needs it. Before final production, check DLP policy, tests, analytics, approvals and licenses.</w:t>
      </w:r>
    </w:p>
    <w:p>
      <w:pPr>
        <w:pStyle w:val="Heading1"/>
      </w:pPr>
      <w:r>
        <w:t xml:space="preserve">1. One platform</w:t>
      </w:r>
    </w:p>
    <w:p>
      <w:r>
        <w:t xml:space="preserve">Treat the suite as one platform for apps, flows, sites, agents and Dataverse data. Put lifecycle, security, test and release choices in one clear decision frame.</w:t>
      </w:r>
    </w:p>
    <w:p>
      <w:pPr>
        <w:pStyle w:val="Heading2"/>
      </w:pPr>
      <w:r>
        <w:t xml:space="preserve">Claims</w:t>
      </w:r>
    </w:p>
    <w:p>
      <w:r>
        <w:t xml:space="preserve">Power Platform ALM spans apps, automation, sites, agents and Dataverse; executives should manage it as one governed delivery path.</w:t>
      </w:r>
    </w:p>
    <w:p>
      <w:pPr>
        <w:pStyle w:val="Heading2"/>
      </w:pPr>
      <w:r>
        <w:t xml:space="preserve">Speaker notes</w:t>
      </w:r>
    </w:p>
    <w:p>
      <w:r>
        <w:t xml:space="preserve">Evidence: ALM scope includes Power Apps, Power Automate, Power Pages, Copilot Studio and Dataverse, with governance, testing and release management as ALM disciplines. Interpretation: executives should avoid treating each workload as an isolated release path.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visual-one-platform: The decision frame is one governed ALM path across the Power Platform suite.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0" name="visual-one-platform" descr="The decision frame is one governed ALM path across the Power Platform suite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visual-one-platform" descr="The decision frame is one governed ALM path across the Power Platform suite. (mermaid diagram)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Managed artifact</w:t>
      </w:r>
    </w:p>
    <w:p>
      <w:r>
        <w:t xml:space="preserve">Build change in an unmanaged solution, with source control as the source of truth. Export a managed solution as the build artifact that test and production receive.</w:t>
      </w:r>
    </w:p>
    <w:p>
      <w:pPr>
        <w:pStyle w:val="Heading2"/>
      </w:pPr>
      <w:r>
        <w:t xml:space="preserve">Claims</w:t>
      </w:r>
    </w:p>
    <w:p>
      <w:r>
        <w:t xml:space="preserve">Use source control as truth, build changes in unmanaged solutions, and export managed solutions as downstream build artifacts.</w:t>
      </w:r>
    </w:p>
    <w:p>
      <w:pPr>
        <w:pStyle w:val="Heading2"/>
      </w:pPr>
      <w:r>
        <w:t xml:space="preserve">Speaker notes</w:t>
      </w:r>
    </w:p>
    <w:p>
      <w:r>
        <w:t xml:space="preserve">Evidence: Microsoft Learn states source control should be the source of truth, unmanaged solutions are for development, and managed exports are build artifacts. Interpretation: test and production should receive the managed package, not ad hoc maker changes.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visual-managed-artifact: Development remains editable, while the promoted package becomes the controlled artifact. (excalidraw diagram)</w:t>
      </w:r>
    </w:p>
    <w:p>
      <w:r>
        <w:drawing>
          <wp:inline distT="0" distB="0" distL="0" distR="0">
            <wp:extent cx="5486400" cy="3086100"/>
            <wp:effectExtent l="0" t="0" r="0" b="0"/>
            <wp:docPr id="101" name="visual-managed-artifact" descr="Development remains editable, while the promoted package becomes the controlled artifact. (excalidraw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visual-managed-artifact" descr="Development remains editable, while the promoted package becomes the controlled artifact. (excalidraw diagram)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3. Config and data</w:t>
      </w:r>
    </w:p>
    <w:p>
      <w:r>
        <w:t xml:space="preserve">Keep configuration and business records on separate tracks. Set connections, references and variables per target, then migrate table rows, because solutions carry no data.</w:t>
      </w:r>
    </w:p>
    <w:p>
      <w:pPr>
        <w:pStyle w:val="Heading2"/>
      </w:pPr>
      <w:r>
        <w:t xml:space="preserve">Claims</w:t>
      </w:r>
    </w:p>
    <w:p>
      <w:r>
        <w:t xml:space="preserve">Promote the same artifact through ordered stages; configure each target, and move Dataverse table records separately.</w:t>
      </w:r>
    </w:p>
    <w:p>
      <w:pPr>
        <w:pStyle w:val="Heading2"/>
      </w:pPr>
      <w:r>
        <w:t xml:space="preserve">Speaker notes</w:t>
      </w:r>
    </w:p>
    <w:p>
      <w:r>
        <w:t xml:space="preserve">Evidence: pipelines deploy solution configuration such as connections, connection references and environment variables, while solutions do not contain Dataverse table data. Interpretation: deployment and data migration should be separately planned and validated.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visual-config-and-data: Configuration travels with deployment; Dataverse table records need a separate path. (marp diagram)</w:t>
      </w:r>
    </w:p>
    <w:p>
      <w:r>
        <w:drawing>
          <wp:inline distT="0" distB="0" distL="0" distR="0">
            <wp:extent cx="5486400" cy="3086100"/>
            <wp:effectExtent l="0" t="0" r="0" b="0"/>
            <wp:docPr id="102" name="visual-config-and-data" descr="Configuration travels with deployment; Dataverse table records need a separate path. (marp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visual-config-and-data" descr="Configuration travels with deployment; Dataverse table records need a separate path. (marp diagram)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Release gate</w:t>
      </w:r>
    </w:p>
    <w:p>
      <w:r>
        <w:t xml:space="preserve">Automate with pipelines, or use Azure DevOps or GitHub when the route needs it. Before final production, check DLP policy, tests, analytics, approvals and licenses.</w:t>
      </w:r>
    </w:p>
    <w:p>
      <w:pPr>
        <w:pStyle w:val="Heading2"/>
      </w:pPr>
      <w:r>
        <w:t xml:space="preserve">Claims</w:t>
      </w:r>
    </w:p>
    <w:p>
      <w:r>
        <w:t xml:space="preserve">Automate delivery with pipelines and CI/CD; Microsoft documentation points to Azure DevOps or GitHub for some scenarios.</w:t>
      </w:r>
    </w:p>
    <w:p>
      <w:r>
        <w:t xml:space="preserve">Before production, check DLP connector controls, tests, analytics, approvals and managed-environment licensing.</w:t>
      </w:r>
    </w:p>
    <w:p>
      <w:pPr>
        <w:pStyle w:val="Heading2"/>
      </w:pPr>
      <w:r>
        <w:t xml:space="preserve">Speaker notes</w:t>
      </w:r>
    </w:p>
    <w:p>
      <w:r>
        <w:t xml:space="preserve">Evidence: sources cite automated pipelines, Azure DevOps CI/CD, GitHub for some scenarios, DLP connector controls, pipeline analytics, approval controls and managed-environment licensing. Interpretation: automation speeds promotion but should not bypass release governance.</w:t>
      </w:r>
    </w:p>
    <w:p>
      <w:pPr>
        <w:pStyle w:val="Heading2"/>
      </w:pPr>
      <w:r>
        <w:t xml:space="preserve">Assets and alt text</w:t>
      </w:r>
    </w:p>
    <w:p>
      <w:pPr>
        <w:keepNext/>
      </w:pPr>
      <w:r>
        <w:t xml:space="preserve">visual-release-gate: Automation accelerates delivery only after the release gate is satisfied. (mermaid diagram)</w:t>
      </w:r>
    </w:p>
    <w:p>
      <w:r>
        <w:drawing>
          <wp:inline distT="0" distB="0" distL="0" distR="0">
            <wp:extent cx="5486400" cy="3086100"/>
            <wp:effectExtent l="0" t="0" r="0" b="0"/>
            <wp:docPr id="103" name="visual-release-gate" descr="Automation accelerates delivery only after the release gate is satisfied. (mermaid diagra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visual-release-gate" descr="Automation accelerates delivery only after the release gate is satisfied. (mermaid diagram)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Citations</w:t>
      </w:r>
    </w:p>
    <w:p>
      <w:pPr>
        <w:keepLines/>
      </w:pPr>
      <w:hyperlink r:id="rId2" w:history="1">
        <w:r>
          <w:rPr>
            <w:rStyle w:val="Hyperlink"/>
          </w:rPr>
          <w:t>[ev-01, ev-02, ev-03, ev-04] Overview of application lifecycle management with Microsoft Power Platform (retrieved 2026-10-06T20:16:28.682Z)</w:t>
        </w:r>
      </w:hyperlink>
    </w:p>
    <w:p>
      <w:pPr>
        <w:keepLines/>
      </w:pPr>
      <w:hyperlink r:id="rId3" w:history="1">
        <w:r>
          <w:rPr>
            <w:rStyle w:val="Hyperlink"/>
          </w:rPr>
          <w:t>[ev-05, ev-06, ev-07] Solution concepts (retrieved 2026-10-06T20:16:28.824Z)</w:t>
        </w:r>
      </w:hyperlink>
    </w:p>
    <w:p>
      <w:pPr>
        <w:keepLines/>
      </w:pPr>
      <w:hyperlink r:id="rId4" w:history="1">
        <w:r>
          <w:rPr>
            <w:rStyle w:val="Hyperlink"/>
          </w:rPr>
          <w:t>[ev-09, ev-10, ev-11, ev-12, ev-08, ev-13, ev-14, ev-15] Overview of pipelines in Power Platform (retrieved 2026-10-06T20:16:28.991Z)</w:t>
        </w:r>
      </w:hyperlink>
    </w:p>
    <w:p>
      <w:pPr>
        <w:keepLines/>
      </w:pPr>
      <w:hyperlink r:id="rId5" w:history="1">
        <w:r>
          <w:rPr>
            <w:rStyle w:val="Hyperlink"/>
          </w:rPr>
          <w:t>[ev-16, ev-17] Data policies (retrieved 2026-10-06T20:16:29.158Z)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 Variable Text" w:hAnsi="Segoe UI Variable Text" w:cs="Segoe UI Variable Text"/>
        <w:color w:val="0B121E"/>
        <w:sz w:val="22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pBdr>
        <w:bottom w:val="single" w:sz="24" w:space="6" w:color="B3DAF0"/>
      </w:pBdr>
      <w:spacing w:before="0" w:after="240"/>
      <w:jc w:val="left"/>
    </w:pPr>
    <w:rPr>
      <w:rFonts w:ascii="Segoe UI Variable Display" w:hAnsi="Segoe UI Variable Display" w:cs="Segoe UI Variable Display"/>
      <w:b/>
      <w:color w:val="0E1726"/>
      <w:sz w:val="5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 Variable Display" w:hAnsi="Segoe UI Variable Display" w:cs="Segoe UI Variable Display"/>
      <w:b/>
      <w:color w:val="0E1726"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rFonts w:ascii="Segoe UI Variable Display" w:hAnsi="Segoe UI Variable Display" w:cs="Segoe UI Variable Display"/>
      <w:b/>
      <w:color w:val="0E1726"/>
      <w:sz w:val="24"/>
    </w:rPr>
  </w:style>
  <w:style w:type="character" w:styleId="Hyperlink">
    <w:name w:val="Hyperlink"/>
    <w:rPr>
      <w:color w:val="006EC3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.microsoft.com/en-us/power-platform/alm/overview-alm" TargetMode="External"/><Relationship Id="rId3" Type="http://schemas.openxmlformats.org/officeDocument/2006/relationships/hyperlink" Target="https://learn.microsoft.com/en-us/power-platform/alm/solution-concepts-alm" TargetMode="External"/><Relationship Id="rId4" Type="http://schemas.openxmlformats.org/officeDocument/2006/relationships/hyperlink" Target="https://learn.microsoft.com/en-us/power-platform/alm/pipelines" TargetMode="External"/><Relationship Id="rId5" Type="http://schemas.openxmlformats.org/officeDocument/2006/relationships/hyperlink" Target="https://learn.microsoft.com/en-us/power-platform/admin/wp-data-loss-prevention" TargetMode="External"/><Relationship Id="rId6" Type="http://schemas.openxmlformats.org/officeDocument/2006/relationships/image" Target="media/visual-one-platform-6e426bc2e679.png"/><Relationship Id="rId7" Type="http://schemas.openxmlformats.org/officeDocument/2006/relationships/image" Target="media/visual-managed-artifact-b7ba577457a2.png"/><Relationship Id="rId8" Type="http://schemas.openxmlformats.org/officeDocument/2006/relationships/image" Target="media/visual-config-and-data-6032ee1e1acd.png"/><Relationship Id="rId9" Type="http://schemas.openxmlformats.org/officeDocument/2006/relationships/image" Target="media/visual-release-gate-178732a7cc53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Power Platform ALM: govern one release path</dc:title>
  <dc:creator>a2swe</dc:creator>
  <dcterms:created xsi:type="dcterms:W3CDTF">2020-01-01T00:00:00Z</dcterms:created>
  <dcterms:modified xsi:type="dcterms:W3CDTF">2020-01-01T00:00:00Z</dcterms:modified>
</cp:coreProperties>
</file>