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Copilot Studio 2026: govern intent-to-action agents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Managed build surface</w:t>
      </w:r>
    </w:p>
    <w:p>
      <w:r>
        <w:t xml:space="preserve">2. Orchestrate choices</w:t>
      </w:r>
    </w:p>
    <w:p>
      <w:r>
        <w:t xml:space="preserve">3. Tools execute work</w:t>
      </w:r>
    </w:p>
    <w:p>
      <w:r>
        <w:t xml:space="preserve">4. Govern the platform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Audience: Executive decision-makers</w:t>
      </w:r>
    </w:p>
    <w:p>
      <w:r>
        <w:t xml:space="preserve">Decision: Fund governed agent scale where workflows merit managed automation.</w:t>
      </w:r>
    </w:p>
    <w:p>
      <w:pPr>
        <w:pStyle w:val="Heading2"/>
      </w:pPr>
      <w:r>
        <w:t xml:space="preserve">Narration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1"/>
      </w:pPr>
      <w:r>
        <w:t xml:space="preserve">1. Managed build surface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pPr>
        <w:pStyle w:val="Heading2"/>
      </w:pPr>
      <w:r>
        <w:t xml:space="preserve">Claims</w:t>
      </w:r>
    </w:p>
    <w:p>
      <w:r>
        <w:t xml:space="preserve">Copilot Studio is a low-code studio for agents, workflows and agent flows that connect to business data and publish to work channels.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overview retrieved through project intake. Interpretation: frame the executive decision as governed platform adoption, not isolated bot creation.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visual-managed-build: The studio connects business data and systems to workplace channels through managed agents and workflows.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managed-build" descr="The studio connects business data and systems to workplace channels through managed agents and workflows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managed-build" descr="The studio connects business data and systems to workplace channels through managed agents and workflows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Orchestrate choices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pPr>
        <w:pStyle w:val="Heading2"/>
      </w:pPr>
      <w:r>
        <w:t xml:space="preserve">Claims</w:t>
      </w:r>
    </w:p>
    <w:p>
      <w:r>
        <w:t xml:space="preserve">Generative orchestration lets agents choose tools, knowledge, topics or other agents, ask for missing inputs and compose responses.</w:t>
      </w:r>
    </w:p>
    <w:p>
      <w:pPr>
        <w:pStyle w:val="Heading2"/>
      </w:pPr>
      <w:r>
        <w:t xml:space="preserve">Speaker notes</w:t>
      </w:r>
    </w:p>
    <w:p>
      <w:r>
        <w:t xml:space="preserve">Evidence: orchestration documentation states the default for new standard-harness agents and the selection behavior. Interpretation: descriptions become operating metadata.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visual-orchestrate-choices: A readable routing model: one request can route to knowledge, tools, topics or other agents.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rchestrate-choices" descr="A readable routing model: one request can route to knowledge, tools, topics or other agents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rchestrate-choices" descr="A readable routing model: one request can route to knowledge, tools, topics or other agents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Tools execute work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pPr>
        <w:pStyle w:val="Heading2"/>
      </w:pPr>
      <w:r>
        <w:t xml:space="preserve">Claims</w:t>
      </w:r>
    </w:p>
    <w:p>
      <w:r>
        <w:t xml:space="preserve">Tools move intent to action through connectors, agent flows, prompts, REST APIs, MCP and computer use, with policy restrictions available.</w:t>
      </w:r>
    </w:p>
    <w:p>
      <w:pPr>
        <w:pStyle w:val="Heading2"/>
      </w:pPr>
      <w:r>
        <w:t xml:space="preserve">Speaker notes</w:t>
      </w:r>
    </w:p>
    <w:p>
      <w:r>
        <w:t xml:space="preserve">Evidence: the tools article lists the supported tool mechanisms and notes governance policies can restrict tools and connectors. Interpretation: action reach needs portfolio policy.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visual-tools-execute: Tool routes convert intent into action, but each route should be governed before scale.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tools-execute" descr="Tool routes convert intent into action, but each route should be governed before scal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tools-execute" descr="Tool routes convert intent into action, but each route should be governed before scale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the platform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2"/>
      </w:pPr>
      <w:r>
        <w:t xml:space="preserve">Claims</w:t>
      </w:r>
    </w:p>
    <w:p>
      <w:r>
        <w:t xml:space="preserve">Enterprise control includes data policies, audit visibility, Agent 365 governance, Entra agent identities and security controls.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governance documentation covers data policies, audit visibility, Agent 365 and Entra identities; overview covers evaluations and administration. Interpretation: fund platform operating controls with use-case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visual-govern-platform: A control board keeps scale tied to identity, policy, audit, cost and quality evidence.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govern-platform" descr="A control board keeps scale tied to identity, policy, audit, cost and quality evidenc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govern-platform" descr="A control board keeps scale tied to identity, policy, audit, cost and quality evidence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ev-14, ev-15] Overview - Microsoft Copilot Studio (retrieved 2026-10-06T20:16:38.547Z)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Orchestrate agent behavior with generative AI (retrieved 2026-10-06T20:16:38.738Z)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Add tools to custom agents (retrieved 2026-10-06T20:16:38.897Z)</w:t>
        </w:r>
      </w:hyperlink>
    </w:p>
    <w:p>
      <w:pPr>
        <w:keepLines/>
      </w:pPr>
      <w:hyperlink r:id="rId5" w:history="1">
        <w:r>
          <w:rPr>
            <w:rStyle w:val="Hyperlink"/>
          </w:rPr>
          <w:t>[ev-10, ev-11, ev-12, ev-13] Security and governance (retrieved 2026-10-06T20:16:39.025Z)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9589E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9589E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9589E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copilot-studio/fundamentals-what-is-copilot-studio" TargetMode="External"/><Relationship Id="rId3" Type="http://schemas.openxmlformats.org/officeDocument/2006/relationships/hyperlink" Target="https://learn.microsoft.com/en-us/microsoft-copilot-studio/advanced-generative-actions" TargetMode="External"/><Relationship Id="rId4" Type="http://schemas.openxmlformats.org/officeDocument/2006/relationships/hyperlink" Target="https://learn.microsoft.com/en-us/microsoft-copilot-studio/add-tools-custom-agent" TargetMode="External"/><Relationship Id="rId5" Type="http://schemas.openxmlformats.org/officeDocument/2006/relationships/hyperlink" Target="https://learn.microsoft.com/en-us/microsoft-copilot-studio/security-and-governance" TargetMode="External"/><Relationship Id="rId6" Type="http://schemas.openxmlformats.org/officeDocument/2006/relationships/image" Target="media/visual-managed-build-db2f0d512d23.png"/><Relationship Id="rId7" Type="http://schemas.openxmlformats.org/officeDocument/2006/relationships/image" Target="media/visual-orchestrate-choices-9ba9c90be08b.png"/><Relationship Id="rId8" Type="http://schemas.openxmlformats.org/officeDocument/2006/relationships/image" Target="media/visual-tools-execute-21070547b864.png"/><Relationship Id="rId9" Type="http://schemas.openxmlformats.org/officeDocument/2006/relationships/image" Target="media/visual-govern-platform-2ffb0246852b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Copilot Studio 2026: govern intent-to-action agents</dc:title>
  <dc:creator>a2swe</dc:creator>
  <dcterms:created xsi:type="dcterms:W3CDTF">2020-01-01T00:00:00Z</dcterms:created>
  <dcterms:modified xsi:type="dcterms:W3CDTF">2020-01-01T00:00:00Z</dcterms:modified>
</cp:coreProperties>
</file>