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sz w:val="160"/>
          <w:szCs w:val="160"/>
        </w:rPr>
        <w:t xml:space="preserve">🦉</w:t>
      </w:r>
    </w:p>
    <w:p>
      <w:pPr>
        <w:spacing w:after="0" w:before="120"/>
        <w:jc w:val="center"/>
      </w:pPr>
      <w:r>
        <w:rPr>
          <w:b/>
          <w:bCs/>
          <w:color w:val="58CC02"/>
          <w:sz w:val="72"/>
          <w:szCs w:val="72"/>
        </w:rPr>
        <w:t xml:space="preserve">Duodingo</w:t>
      </w:r>
    </w:p>
    <w:p>
      <w:pPr>
        <w:spacing w:after="600" w:before="60"/>
        <w:jc w:val="center"/>
      </w:pPr>
      <w:r>
        <w:rPr>
          <w:i/>
          <w:iCs/>
          <w:color w:val="AFAFAF"/>
          <w:sz w:val="28"/>
          <w:szCs w:val="28"/>
        </w:rPr>
        <w:t xml:space="preserve">Apprends à coder, une leçon à la fois.</w:t>
      </w:r>
    </w:p>
    <w:p>
      <w:pPr>
        <w:spacing w:after="120"/>
        <w:jc w:val="center"/>
      </w:pPr>
      <w:r>
        <w:rPr>
          <w:b/>
          <w:bCs/>
          <w:color w:val="4B4B4B"/>
          <w:sz w:val="44"/>
          <w:szCs w:val="44"/>
        </w:rPr>
        <w:t xml:space="preserve">COMPTE RENDU</w:t>
      </w:r>
    </w:p>
    <w:p>
      <w:pPr>
        <w:spacing w:after="800"/>
        <w:jc w:val="center"/>
      </w:pPr>
      <w:r>
        <w:rPr>
          <w:color w:val="4B4B4B"/>
          <w:sz w:val="32"/>
          <w:szCs w:val="32"/>
        </w:rPr>
        <w:t xml:space="preserve">Application mobile .NET MAUI</w:t>
      </w:r>
    </w:p>
    <w:p>
      <w:pPr>
        <w:pBdr>
          <w:top w:val="single" w:color="58CC02" w:sz="6" w:space="6"/>
        </w:pBdr>
        <w:jc w:val="center"/>
      </w:pPr>
      <w:r>
        <w:t xml:space="preserve"/>
      </w:r>
    </w:p>
    <w:p>
      <w:pPr>
        <w:spacing w:after="60" w:before="300"/>
        <w:jc w:val="center"/>
      </w:pPr>
      <w:r>
        <w:rPr>
          <w:b/>
          <w:bCs/>
          <w:sz w:val="28"/>
          <w:szCs w:val="28"/>
        </w:rPr>
        <w:t xml:space="preserve">Ryad Senhadji</w:t>
      </w:r>
    </w:p>
    <w:p>
      <w:pPr>
        <w:spacing w:after="60"/>
        <w:jc w:val="center"/>
      </w:pPr>
      <w:r>
        <w:rPr>
          <w:color w:val="AFAFAF"/>
          <w:sz w:val="24"/>
          <w:szCs w:val="24"/>
        </w:rPr>
        <w:t xml:space="preserve">16 juin 2026</w:t>
      </w:r>
    </w:p>
    <w:p>
      <w:pPr>
        <w:spacing w:after="60"/>
        <w:jc w:val="center"/>
      </w:pPr>
      <w:hyperlink w:history="1" r:id="rIdxa2rttqf9fk-gzip-kq92">
        <w:r>
          <w:rPr>
            <w:rStyle w:val="Hyperlink"/>
            <w:sz w:val="22"/>
            <w:szCs w:val="22"/>
          </w:rPr>
          <w:t xml:space="preserve">github.com/dayr20/Duodingo</w:t>
        </w:r>
      </w:hyperlink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spacing w:after="120"/>
      </w:pPr>
      <w:r>
        <w:t xml:space="preserve">Duodingo est une application mobile d’apprentissage de la programmation qui reprend les codes et la gamification de Duolingo. L’objectif : rendre l’apprentissage du code accessible, motivant et « addictif » grâce à des leçons courtes, interactives et récompensées.</w:t>
      </w:r>
    </w:p>
    <w:p>
      <w:pPr>
        <w:spacing w:after="120"/>
      </w:pPr>
      <w:r>
        <w:t xml:space="preserve">Là où Duolingo enseigne les langues, Duodingo enseigne les langages de programmation : JavaScript, Python, HTML/CSS, SQL et TypeScript. L’utilisateur progresse sur un parcours structuré, gagne de l’expérience (XP), entretient une série quotidienne (streak) et conserve un capital de cœurs qu’il perd en cas d’erreur.</w:t>
      </w:r>
    </w:p>
    <w:p>
      <w:pPr>
        <w:pStyle w:val="Heading2"/>
      </w:pPr>
      <w:r>
        <w:t xml:space="preserve">1.1 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Rendre l’apprentissage du code accessible aux débutants complets.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Proposer une expérience gamifiée qui motive la pratique quotidienne.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Couvrir les langages les plus demandés.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Offrir une progression structurée du niveau débutant à intermédiaire.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Fonctionner sur Android et iOS à partir d’une seule base de code.</w:t>
      </w:r>
    </w:p>
    <w:p>
      <w:pPr>
        <w:pStyle w:val="Heading1"/>
      </w:pPr>
      <w:r>
        <w:t xml:space="preserve">2. Architecture technique</w:t>
      </w:r>
    </w:p>
    <w:p>
      <w:pPr>
        <w:spacing w:after="120"/>
      </w:pPr>
      <w:r>
        <w:t xml:space="preserve">L’application suit une architecture client / serveur classique en trois couches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mobile (.NET MAUI)</w:t>
      </w:r>
      <w:r>
        <w:t xml:space="preserve"> — l’interface utilisateur multiplateforme, écrite en C#. Elle consomme l’API REST via HTTP.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REST (Node.js / Express)</w:t>
      </w:r>
      <w:r>
        <w:t xml:space="preserve"> — la logique métier : authentification JWT, gestion des leçons, de la progression, du classement et des défis.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données (MongoDB)</w:t>
      </w:r>
      <w:r>
        <w:t xml:space="preserve"> — le stockage des utilisateurs, langages, chapitres, leçons, exercices et progression.</w:t>
      </w:r>
    </w:p>
    <w:p>
      <w:pPr>
        <w:spacing w:after="120"/>
      </w:pPr>
      <w:r>
        <w:rPr>
          <w:sz w:val="22"/>
          <w:szCs w:val="22"/>
        </w:rPr>
        <w:t xml:space="preserve">Le client MAUI ne contient aucune logique métier sensible : il s’appuie entièrement sur l’API. Le jeton JWT renvoyé à la connexion est stocké de façon sécurisée sur l’appareil (SecureStorage) et envoyé dans l’en-tête Authorization de chaque requête authentifiée.</w:t>
      </w:r>
    </w:p>
    <w:p>
      <w:pPr>
        <w:pStyle w:val="Heading2"/>
      </w:pPr>
      <w:r>
        <w:t xml:space="preserve">2.1 Organisation du code MAUI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Services/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HTTP (ApiService), configuration de l’URL d’API selon la plateforme.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Models/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DTOs C# mappés sur le JSON du backend (User, Language, Lesson, Exercise…).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Pages/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écrans construits en C# + un kit d’UI réutilisable (UiKit) au style Duolingo.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App.xaml.cs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Choix de la page racine : connexion ou application principale selon le jeton.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AppShell.xaml.cs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Barre d’onglets (Apprendre, Défi, Classement, Profil) et routes de navigation.</w:t>
            </w:r>
          </w:p>
        </w:tc>
      </w:tr>
    </w:tbl>
    <w:p>
      <w:pPr>
        <w:pStyle w:val="Heading1"/>
      </w:pPr>
      <w:r>
        <w:t xml:space="preserve">3. Technologies utilisées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Framework 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.NET MAUI 9 (C#) — interface multiplateforme Android / 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Langage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C# 13 / .NET 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 (API REST)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(via Mongoose)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(JSON Web Token), mots de passe hachés (bcrypt)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Stockage local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SecureStorage (jeton), HttpClient pour les appels réseau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7A00"/>
              </w:rPr>
              <w:t xml:space="preserve">Outils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SDK / émulateur Pixel 7, Visual Studio / dotnet CLI</w:t>
            </w:r>
          </w:p>
        </w:tc>
      </w:tr>
    </w:tbl>
    <w:p>
      <w:pPr>
        <w:pStyle w:val="Heading1"/>
      </w:pPr>
      <w:r>
        <w:t xml:space="preserve">4. Fonctionnalités</w:t>
      </w:r>
    </w:p>
    <w:p>
      <w:pPr>
        <w:pStyle w:val="Heading2"/>
      </w:pPr>
      <w:r>
        <w:t xml:space="preserve">4.1 Authentification</w:t>
      </w:r>
    </w:p>
    <w:p>
      <w:pPr>
        <w:spacing w:after="120"/>
      </w:pPr>
      <w:r>
        <w:t xml:space="preserve">Inscription et connexion par email / mot de passe. Le jeton JWT est conservé pour reconnecter automatiquement l’utilisateur au lancement.</w:t>
      </w:r>
    </w:p>
    <w:p>
      <w:pPr>
        <w:pStyle w:val="Heading2"/>
      </w:pPr>
      <w:r>
        <w:t xml:space="preserve">4.2 Parcours d’apprentissage</w:t>
      </w:r>
    </w:p>
    <w:p>
      <w:pPr>
        <w:spacing w:after="120"/>
      </w:pPr>
      <w:r>
        <w:t xml:space="preserve">L’utilisateur choisit un langage, puis progresse sur un parcours en zig-zag (à la Duolingo) composé de chapitres et de leçons.</w:t>
      </w:r>
    </w:p>
    <w:p>
      <w:pPr>
        <w:pStyle w:val="Heading2"/>
      </w:pPr>
      <w:r>
        <w:t xml:space="preserve">4.3 Leçons interactives — 4 types d’exercices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</w:t>
      </w:r>
      <w:r>
        <w:t xml:space="preserve"> — choix multiple avec une seule bonne réponse.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Vrai / Faux</w:t>
      </w:r>
      <w:r>
        <w:t xml:space="preserve"> — affirmation à valider ou invalider.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Compléter le code (fill_code)</w:t>
      </w:r>
      <w:r>
        <w:t xml:space="preserve"> — un extrait de code à trous à compléter.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Remettre dans l’ordre (order_code)</w:t>
      </w:r>
      <w:r>
        <w:t xml:space="preserve"> — réorganiser des lignes de code dans le bon ordre.</w:t>
      </w:r>
    </w:p>
    <w:p>
      <w:pPr>
        <w:pStyle w:val="Heading2"/>
      </w:pPr>
      <w:r>
        <w:t xml:space="preserve">4.4 Gamification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XP &amp; niveaux</w:t>
      </w:r>
      <w:r>
        <w:t xml:space="preserve"> — chaque leçon réussie rapporte de l’expérience ; le niveau augmente tous les 100 XP.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Série (streak)</w:t>
      </w:r>
      <w:r>
        <w:t xml:space="preserve"> — nombre de jours consécutifs de pratique.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Cœurs</w:t>
      </w:r>
      <w:r>
        <w:t xml:space="preserve"> — 5 cœurs maximum ; une erreur en coûte un ; régénération progressive.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Barre de progression &amp; feedback</w:t>
      </w:r>
      <w:r>
        <w:t xml:space="preserve"> — retour immédiat (correct/incorrect) avec explication pédagogique.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Écran de résultat festif</w:t>
      </w:r>
      <w:r>
        <w:t xml:space="preserve"> — récapitulatif des XP gagnés et de la précision.</w:t>
      </w:r>
    </w:p>
    <w:p>
      <w:pPr>
        <w:pStyle w:val="Heading2"/>
      </w:pPr>
      <w:r>
        <w:t xml:space="preserve">4.5 Défi du jour</w:t>
      </w:r>
    </w:p>
    <w:p>
      <w:pPr>
        <w:spacing w:after="120"/>
      </w:pPr>
      <w:r>
        <w:t xml:space="preserve">Un défi quotidien rotatif (piège classique d’un langage) rapportant un bonus d’XP.</w:t>
      </w:r>
    </w:p>
    <w:p>
      <w:pPr>
        <w:pStyle w:val="Heading2"/>
      </w:pPr>
      <w:r>
        <w:t xml:space="preserve">4.6 Classement &amp; profil</w:t>
      </w:r>
    </w:p>
    <w:p>
      <w:pPr>
        <w:spacing w:after="120"/>
      </w:pPr>
      <w:r>
        <w:t xml:space="preserve">Un classement XP entre utilisateurs (avec médailles pour le podium) et une page profil affichant statistiques et succès débloqués.</w:t>
      </w:r>
    </w:p>
    <w:p>
      <w:pPr>
        <w:pStyle w:val="Heading1"/>
      </w:pPr>
      <w:r>
        <w:t xml:space="preserve">5. Modèle de données &amp; API</w:t>
      </w:r>
    </w:p>
    <w:p>
      <w:pPr>
        <w:spacing w:after="120"/>
      </w:pPr>
      <w:r>
        <w:t xml:space="preserve">Le backend expose une API REST sous /api. Principaux points d’entrée consommés par l’application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8C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8C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8C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Connexion (renvoie le jeton JWT)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 de l’utilisateur connecté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/languages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des langages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/languages/:id/topics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Chapitres d’un langage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/.../topics/:id/lessons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Leçons d’un chapitre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/lessons/:id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Détail d’une leçon (avec exercices)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/lessons/:id/complete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d’une leçon (XP, série)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/progress/stats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Statistiques de l’utilisateur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/progress/leaderboard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Classement XP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GET/POST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/progress/hearts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Consultation / mise à jour des cœurs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/challenges/today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Défi du jour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/challenges/today/complete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du défi du jour</w:t>
            </w:r>
          </w:p>
        </w:tc>
      </w:tr>
    </w:tbl>
    <w:p>
      <w:pPr>
        <w:pStyle w:val="Heading1"/>
        <w:pageBreakBefore/>
      </w:pPr>
      <w:r>
        <w:t xml:space="preserve">6. Déroulé de l’application (démo)</w:t>
      </w:r>
    </w:p>
    <w:p>
      <w:pPr>
        <w:spacing w:after="120"/>
      </w:pPr>
      <w:r>
        <w:t xml:space="preserve">Captures réelles prises sur l’émulateur Android (Pixel 7), application connectée au backend avec des données réelles.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00_login.png" descr="1. Écran de connexion" title="1. Écran de connex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1. Écran de connexion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03_home.png" descr="2. Accueil — choix du langage" title="2. Accueil — choix du lang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2. Accueil — choix du langage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04_path_js.png" descr="3. Parcours JavaScript (chapitres &amp; leçons)" title="3. Parcours JavaScript (chapitres &amp; leçon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3. Parcours JavaScript (chapitres &amp; leçons)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06_lesson_q1.png" descr="4. Leçon — exercice QCM" title="4. Leçon — exercice Q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4. Leçon — exercice QCM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08_lesson_correct.png" descr="5. Bonne réponse + explication" title="5. Bonne réponse + ex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5. Bonne réponse + explication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09_lesson_fillcode.png" descr="6. Exercice « compléter le code »" title="6. Exercice « compléter le code 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6. Exercice « compléter le code »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12_ordercode_assembled.png" descr="7. Exercice « remettre dans l’ordre »" title="7. Exercice « remettre dans l’ordre 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7. Exercice « remettre dans l’ordre »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13_result.png" descr="8. Résultat de fin de leçon" title="8. Résultat de fin de leç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8. Résultat de fin de leçon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14_challenge.png" descr="9. Défi du jour" title="9. Défi du j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9. Défi du jour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16_leaderboard.png" descr="10. Classement XP" title="10. Classement X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10. Classement XP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4019550"/>
                  <wp:effectExtent t="0" r="0" b="0" l="0"/>
                  <wp:docPr id="1" name="17_profile.png" descr="11. Profil &amp; succès" title="11. Profil &amp; succè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AFAFAF"/>
                <w:sz w:val="18"/>
                <w:szCs w:val="18"/>
              </w:rPr>
              <w:t xml:space="preserve">11. Profil &amp; succès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7. Difficultés rencontrées &amp;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Trafic HTTP en clair bloqué sur Android</w:t>
      </w:r>
      <w:r>
        <w:t xml:space="preserve"> — Android interdit par défaut les requêtes HTTP non chiffrées. Résolu en autorisant le cleartext (android:usesCleartextTraffic) pour le développement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Accès au backend depuis l’émulateur</w:t>
      </w:r>
      <w:r>
        <w:t xml:space="preserve"> — l’émulateur Android joint la machine hôte via l’adresse 10.0.2.2 (et non localhost). L’URL d’API est sélectionnée automatiquement selon la plateforme.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Icônes Ionicons en base</w:t>
      </w:r>
      <w:r>
        <w:t xml:space="preserve"> — les icônes étaient stockées sous forme de noms Ionicons (logo-javascript, cube-outline…). Une table de correspondance les convertit en emojis affichables dans MAUI.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Réponses à format variable</w:t>
      </w:r>
      <w:r>
        <w:t xml:space="preserve"> — le champ correctAnswer peut être une chaîne (QCM) ou un tableau (remise en ordre). Géré via un JsonElement et deux accesseurs typés.</w:t>
      </w:r>
    </w:p>
    <w:p>
      <w:pPr>
        <w:pStyle w:val="Heading1"/>
      </w:pPr>
      <w:r>
        <w:t xml:space="preserve">8. Installation &amp; lancement</w:t>
      </w:r>
    </w:p>
    <w:p>
      <w:pPr>
        <w:pStyle w:val="Heading2"/>
      </w:pPr>
      <w:r>
        <w:t xml:space="preserve">8.1 Backend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backend → npm install → npm run seed → npm start (port 5001, MongoDB requis).</w:t>
      </w:r>
    </w:p>
    <w:p>
      <w:pPr>
        <w:pStyle w:val="Heading2"/>
      </w:pPr>
      <w:r>
        <w:t xml:space="preserve">8.2 Application Android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mobile-maui/Duodingo → dotnet build -t:Run -f net9.0-android</w:t>
      </w:r>
    </w:p>
    <w:p>
      <w:pPr>
        <w:spacing w:after="120"/>
      </w:pPr>
      <w:r>
        <w:rPr>
          <w:sz w:val="22"/>
          <w:szCs w:val="22"/>
        </w:rPr>
        <w:t xml:space="preserve">L’URL d’API (http://10.0.2.2:5001/api pour l’émulateur) est préconfigurée dans Services/AppConfig.cs.</w:t>
      </w:r>
    </w:p>
    <w:p>
      <w:pPr>
        <w:pStyle w:val="Heading1"/>
      </w:pPr>
      <w:r>
        <w:t xml:space="preserve">9. Conclusion &amp; perspectives</w:t>
      </w:r>
    </w:p>
    <w:p>
      <w:pPr>
        <w:spacing w:after="120"/>
      </w:pPr>
      <w:r>
        <w:t xml:space="preserve">Duodingo démontre qu’il est possible de transposer avec succès la mécanique gamifiée de Duolingo à l’apprentissage du code. L’application mobile .NET MAUI offre une expérience fluide, fidèle au design de référence, et entièrement connectée à un backend réel.</w:t>
      </w:r>
    </w:p>
    <w:p>
      <w:pPr>
        <w:spacing w:after="120"/>
      </w:pPr>
      <w:r>
        <w:t xml:space="preserve">Perspectives d’évolution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de rappel quotidien pour entretenir la série.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hors-ligne avec synchronisation différée.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Nouveaux types d’exercices (association de paires, saisie libre de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Ligues et défis entre amis pour renforcer l’aspect social.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FAFAF"/>
        <w:sz w:val="18"/>
        <w:szCs w:val="18"/>
      </w:rPr>
      <w:t xml:space="preserve">Duodingo — Compte rendu   ·   </w:t>
    </w:r>
    <w:r>
      <w:rPr>
        <w:color w:val="AFAFAF"/>
        <w:sz w:val="18"/>
        <w:szCs w:val="18"/>
      </w:rPr>
      <w:t xml:space="preserve">Page </w:t>
    </w:r>
    <w:r>
      <w:rPr>
        <w:color w:val="AFAF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8CC02" w:sz="4" w:space="4"/>
      </w:pBdr>
      <w:spacing w:after="160" w:before="280"/>
      <w:outlineLvl w:val="0"/>
    </w:pPr>
    <w:rPr>
      <w:rFonts w:ascii="Arial" w:cs="Arial" w:eastAsia="Arial" w:hAnsi="Arial"/>
      <w:b/>
      <w:bCs/>
      <w:color w:val="3C7A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B4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a2rttqf9fk-gzip-kq92" Type="http://schemas.openxmlformats.org/officeDocument/2006/relationships/hyperlink" Target="https://github.com/dayr20/Duodingo" TargetMode="External"/><Relationship Id="rId8" Type="http://schemas.openxmlformats.org/officeDocument/2006/relationships/image" Target="media/6d083367256b80ce82e1aee2919a634dd2b3d2a8.png"/><Relationship Id="rId9" Type="http://schemas.openxmlformats.org/officeDocument/2006/relationships/image" Target="media/8c9376be3e1778c4d11c0200bad68f31cc465895.png"/><Relationship Id="rId10" Type="http://schemas.openxmlformats.org/officeDocument/2006/relationships/image" Target="media/34c195dc9244f28548dd37d2c0cc3c52179a2d6b.png"/><Relationship Id="rId11" Type="http://schemas.openxmlformats.org/officeDocument/2006/relationships/image" Target="media/3f6e9a6daeb38bfc854fdbc9484827c48ce15be9.png"/><Relationship Id="rId12" Type="http://schemas.openxmlformats.org/officeDocument/2006/relationships/image" Target="media/6541c60835dc40b3d0f8c0bc21635c89449d750e.png"/><Relationship Id="rId13" Type="http://schemas.openxmlformats.org/officeDocument/2006/relationships/image" Target="media/092d786bca87807410ccc1ec6ae4bf4b44debe79.png"/><Relationship Id="rId14" Type="http://schemas.openxmlformats.org/officeDocument/2006/relationships/image" Target="media/96b15deeca4d37c804aa5fec3bf1c2867abc58aa.png"/><Relationship Id="rId15" Type="http://schemas.openxmlformats.org/officeDocument/2006/relationships/image" Target="media/1608f89e0f9f35447483f965a68c547c8c967ed6.png"/><Relationship Id="rId16" Type="http://schemas.openxmlformats.org/officeDocument/2006/relationships/image" Target="media/46937f5ace429c4d270c5c4560e94b2d6e5e9425.png"/><Relationship Id="rId17" Type="http://schemas.openxmlformats.org/officeDocument/2006/relationships/image" Target="media/0677c33a0d31ae3826ac6410e9327ae1569d0f1e.png"/><Relationship Id="rId18" Type="http://schemas.openxmlformats.org/officeDocument/2006/relationships/image" Target="media/34e03b9db0899e359d1fec804b4231265b622db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Duodingo — Compte rendu</dc:title>
  <dc:creator>Ryad Senhadji</dc:creator>
  <cp:lastModifiedBy>Un-named</cp:lastModifiedBy>
  <cp:revision>1</cp:revision>
  <dcterms:created xsi:type="dcterms:W3CDTF">2026-06-16T08:52:14.597Z</dcterms:created>
  <dcterms:modified xsi:type="dcterms:W3CDTF">2026-06-16T08:52:14.598Z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