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activeX/_rels/activeX2.xml.rels" ContentType="application/vnd.openxmlformats-package.relationships+xml"/>
  <Override PartName="/word/activeX/_rels/activeX1.xml.rels" ContentType="application/vnd.openxmlformats-package.relationships+xml"/>
  <Override PartName="/word/activeX/activeX2.xml" ContentType="application/vnd.ms-office.activeX+xml"/>
  <Override PartName="/word/activeX/activeX1.bin" ContentType="application/vnd.ms-office.activeX"/>
  <Override PartName="/word/activeX/activeX2.bin" ContentType="application/vnd.ms-office.activeX"/>
  <Override PartName="/word/activeX/activeX1.xml" ContentType="application/vnd.ms-office.activeX+xml"/>
  <Override PartName="/word/media/image3.jpeg" ContentType="image/jpeg"/>
  <Override PartName="/word/media/image2.wmf" ContentType="image/x-wmf"/>
  <Override PartName="/word/media/image1.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TMLTopofForm"/>
        <w:rPr/>
      </w:pPr>
      <w:bookmarkStart w:id="0" w:name="_GoBack"/>
      <w:bookmarkEnd w:id="0"/>
      <w:r>
        <w:rPr/>
        <w:t>Parte superior do formulário</w:t>
      </w:r>
    </w:p>
    <w:p>
      <w:pPr>
        <w:pStyle w:val="Normal"/>
        <w:rPr/>
      </w:pPr>
      <w:r>
        <w:rPr/>
        <w:pict>
          <v:rect id="shape_0" stroked="f" style="position:absolute;margin-left:0.05pt;margin-top:0pt;width:71.8pt;height:17.8pt">
            <v:imagedata r:id="rId2" detectmouseclick="t"/>
            <v:wrap v:type="none"/>
            <v:stroke color="#3465a4" joinstyle="round" endcap="flat"/>
          </v:rect>
        </w:pict>
        <w:pict>
          <v:rect id="shape_0" stroked="f" style="position:absolute;margin-left:0.05pt;margin-top:0pt;width:71.8pt;height:17.8pt">
            <v:imagedata r:id="rId3" detectmouseclick="t"/>
            <v:wrap v:type="none"/>
            <v:stroke color="#3465a4" joinstyle="round" endcap="flat"/>
          </v:rect>
        </w:pict>
      </w:r>
    </w:p>
    <w:tbl>
      <w:tblPr>
        <w:jc w:val="left"/>
        <w:tblInd w:w="0" w:type="dxa"/>
        <w:tblBorders>
          <w:top w:val="nil"/>
          <w:left w:val="nil"/>
          <w:bottom w:val="nil"/>
          <w:insideH w:val="nil"/>
          <w:right w:val="nil"/>
          <w:insideV w:val="nil"/>
        </w:tblBorders>
        <w:tblCellMar>
          <w:top w:w="15" w:type="dxa"/>
          <w:left w:w="15" w:type="dxa"/>
          <w:bottom w:w="15" w:type="dxa"/>
          <w:right w:w="15" w:type="dxa"/>
        </w:tblCellMar>
      </w:tblPr>
      <w:tblGrid>
        <w:gridCol w:w="3447"/>
        <w:gridCol w:w="6693"/>
        <w:gridCol w:w="65"/>
      </w:tblGrid>
      <w:tr>
        <w:trPr>
          <w:cantSplit w:val="false"/>
        </w:trPr>
        <w:tc>
          <w:tcPr>
            <w:tcW w:w="3447"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drawing>
                <wp:inline distT="0" distB="0" distL="0" distR="0">
                  <wp:extent cx="2171700" cy="923925"/>
                  <wp:effectExtent l="0" t="0" r="0" b="0"/>
                  <wp:docPr id="0" name="Picture" descr="http://topdown.servehttp.com:8080/sofc/pmguamare2014/custom/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topdown.servehttp.com:8080/sofc/pmguamare2014/custom/logo.JPG"/>
                          <pic:cNvPicPr>
                            <a:picLocks noChangeAspect="1" noChangeArrowheads="1"/>
                          </pic:cNvPicPr>
                        </pic:nvPicPr>
                        <pic:blipFill>
                          <a:blip r:embed="rId4"/>
                          <a:stretch>
                            <a:fillRect/>
                          </a:stretch>
                        </pic:blipFill>
                        <pic:spPr bwMode="auto">
                          <a:xfrm>
                            <a:off x="0" y="0"/>
                            <a:ext cx="2171700" cy="923925"/>
                          </a:xfrm>
                          <a:prstGeom prst="rect">
                            <a:avLst/>
                          </a:prstGeom>
                          <a:noFill/>
                          <a:ln w="9525">
                            <a:noFill/>
                            <a:miter lim="800000"/>
                            <a:headEnd/>
                            <a:tailEnd/>
                          </a:ln>
                        </pic:spPr>
                      </pic:pic>
                    </a:graphicData>
                  </a:graphic>
                </wp:inline>
              </w:drawing>
            </w:r>
          </w:p>
        </w:tc>
        <w:tc>
          <w:tcPr>
            <w:tcW w:w="6693" w:type="dxa"/>
            <w:tcBorders>
              <w:top w:val="nil"/>
              <w:left w:val="nil"/>
              <w:bottom w:val="nil"/>
              <w:insideH w:val="nil"/>
              <w:right w:val="nil"/>
              <w:insideV w:val="nil"/>
            </w:tcBorders>
            <w:shd w:fill="FFFFFF" w:val="clear"/>
            <w:vAlign w:val="center"/>
          </w:tcPr>
          <w:p>
            <w:pPr>
              <w:pStyle w:val="Normal"/>
              <w:spacing w:before="0" w:after="200"/>
              <w:jc w:val="center"/>
              <w:rPr>
                <w:rFonts w:cs="Arial" w:ascii="Arial" w:hAnsi="Arial"/>
                <w:sz w:val="15"/>
                <w:szCs w:val="15"/>
              </w:rPr>
            </w:pPr>
            <w:r>
              <w:rPr>
                <w:rFonts w:cs="Arial" w:ascii="Arial" w:hAnsi="Arial"/>
                <w:b/>
                <w:bCs/>
              </w:rPr>
              <w:t xml:space="preserve">PREFEITURA MUNICIPAL DE GUAMARÉ </w:t>
            </w:r>
            <w:r>
              <w:rPr/>
              <w:br/>
            </w:r>
            <w:r>
              <w:rPr>
                <w:rFonts w:cs="Arial" w:ascii="Arial" w:hAnsi="Arial"/>
                <w:sz w:val="15"/>
                <w:szCs w:val="15"/>
              </w:rPr>
              <w:t xml:space="preserve">Rua Luiz de Souza Miranda, 116, CENTRO, Guamaré/RN CEP: 59598000 CNPJ: 08.184.442/0001-47 </w:t>
            </w:r>
          </w:p>
        </w:tc>
        <w:tc>
          <w:tcPr>
            <w:tcW w:w="65" w:type="dxa"/>
            <w:tcBorders>
              <w:top w:val="nil"/>
              <w:left w:val="nil"/>
              <w:bottom w:val="nil"/>
              <w:insideH w:val="nil"/>
              <w:right w:val="nil"/>
              <w:insideV w:val="nil"/>
            </w:tcBorders>
            <w:shd w:fill="FFFFFF" w:val="clear"/>
            <w:vAlign w:val="center"/>
          </w:tcPr>
          <w:p>
            <w:pPr>
              <w:pStyle w:val="Normal"/>
              <w:spacing w:before="0" w:after="200"/>
              <w:rPr>
                <w:sz w:val="24"/>
                <w:szCs w:val="24"/>
              </w:rPr>
            </w:pPr>
            <w:r>
              <w:rPr>
                <w:sz w:val="24"/>
                <w:szCs w:val="24"/>
              </w:rPr>
            </w:r>
          </w:p>
        </w:tc>
      </w:tr>
      <w:tr>
        <w:trPr>
          <w:cantSplit w:val="false"/>
        </w:trPr>
        <w:tc>
          <w:tcPr>
            <w:tcW w:w="3447" w:type="dxa"/>
            <w:tcBorders>
              <w:top w:val="nil"/>
              <w:left w:val="nil"/>
              <w:bottom w:val="nil"/>
              <w:insideH w:val="nil"/>
              <w:right w:val="nil"/>
              <w:insideV w:val="nil"/>
            </w:tcBorders>
            <w:shd w:fill="FFFFFF" w:val="clear"/>
            <w:vAlign w:val="center"/>
          </w:tcPr>
          <w:p>
            <w:pPr>
              <w:pStyle w:val="Normal"/>
              <w:spacing w:before="0" w:after="200"/>
              <w:rPr>
                <w:sz w:val="24"/>
                <w:szCs w:val="24"/>
              </w:rPr>
            </w:pPr>
            <w:r>
              <w:rPr>
                <w:sz w:val="24"/>
                <w:szCs w:val="24"/>
              </w:rPr>
            </w:r>
          </w:p>
        </w:tc>
        <w:tc>
          <w:tcPr>
            <w:tcW w:w="6758" w:type="dxa"/>
            <w:gridSpan w:val="2"/>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Fonts w:cs="Arial" w:ascii="Arial" w:hAnsi="Arial"/>
                <w:sz w:val="15"/>
                <w:szCs w:val="15"/>
              </w:rPr>
            </w:pPr>
            <w:r>
              <w:rPr>
                <w:rFonts w:cs="Arial" w:ascii="Arial" w:hAnsi="Arial"/>
                <w:sz w:val="15"/>
                <w:szCs w:val="15"/>
              </w:rPr>
              <w:t>Sistema Orçamentário, Financeiro e Contábil</w:t>
            </w:r>
          </w:p>
        </w:tc>
      </w:tr>
    </w:tbl>
    <w:p>
      <w:pPr>
        <w:pStyle w:val="Normal"/>
        <w:jc w:val="center"/>
        <w:rPr>
          <w:rFonts w:cs="Arial" w:ascii="Arial" w:hAnsi="Arial"/>
          <w:b/>
          <w:bCs/>
          <w:color w:val="000000"/>
          <w:sz w:val="20"/>
          <w:szCs w:val="20"/>
        </w:rPr>
      </w:pPr>
      <w:r>
        <w:rPr>
          <w:rFonts w:cs="Arial" w:ascii="Arial" w:hAnsi="Arial"/>
          <w:b/>
          <w:bCs/>
          <w:color w:val="000000"/>
          <w:sz w:val="20"/>
          <w:szCs w:val="20"/>
        </w:rPr>
        <w:t>Ata de #PREGAO#</w:t>
      </w:r>
    </w:p>
    <w:p>
      <w:pPr>
        <w:pStyle w:val="Normal"/>
        <w:jc w:val="both"/>
        <w:rPr>
          <w:rFonts w:cs="Arial" w:ascii="Arial" w:hAnsi="Arial"/>
          <w:color w:val="000000"/>
          <w:sz w:val="20"/>
          <w:szCs w:val="20"/>
        </w:rPr>
      </w:pPr>
      <w:r>
        <w:rPr>
          <w:rFonts w:cs="Arial" w:ascii="Arial" w:hAnsi="Arial"/>
          <w:color w:val="000000"/>
          <w:sz w:val="20"/>
          <w:szCs w:val="20"/>
        </w:rPr>
        <w:t> </w:t>
      </w:r>
    </w:p>
    <w:p>
      <w:pPr>
        <w:pStyle w:val="Normal"/>
        <w:jc w:val="both"/>
        <w:rPr>
          <w:rFonts w:cs="Arial" w:ascii="Arial" w:hAnsi="Arial"/>
          <w:color w:val="000000"/>
          <w:sz w:val="20"/>
          <w:szCs w:val="20"/>
        </w:rPr>
      </w:pPr>
      <w:r>
        <w:rPr>
          <w:rFonts w:cs="Arial" w:ascii="Arial" w:hAnsi="Arial"/>
          <w:color w:val="000000"/>
          <w:sz w:val="20"/>
          <w:szCs w:val="20"/>
        </w:rPr>
        <w:t xml:space="preserve">Às </w:t>
      </w:r>
      <w:r>
        <w:rPr>
          <w:rFonts w:eastAsia="MS Mincho;ＭＳ 明朝" w:cs="Arial" w:ascii="Arial" w:hAnsi="Arial"/>
          <w:color w:val="000000"/>
          <w:sz w:val="20"/>
          <w:szCs w:val="20"/>
          <w:shd w:fill="FFFFFF" w:val="clear"/>
        </w:rPr>
        <w:t>#HORA#</w:t>
      </w:r>
      <w:r>
        <w:rPr>
          <w:rFonts w:cs="Arial" w:ascii="Arial" w:hAnsi="Arial"/>
          <w:color w:val="000000"/>
          <w:sz w:val="20"/>
          <w:szCs w:val="20"/>
        </w:rPr>
        <w:t xml:space="preserve"> do dia #DIA#, no(a) </w:t>
      </w:r>
      <w:r>
        <w:rPr>
          <w:rFonts w:eastAsia="MS Mincho;ＭＳ 明朝" w:cs="Arial" w:ascii="Arial" w:hAnsi="Arial"/>
          <w:color w:val="000000"/>
          <w:sz w:val="20"/>
          <w:szCs w:val="20"/>
          <w:shd w:fill="FFFFFF" w:val="clear"/>
        </w:rPr>
        <w:t>#LOCAL#</w:t>
      </w:r>
      <w:r>
        <w:rPr>
          <w:rFonts w:cs="Arial" w:ascii="Arial" w:hAnsi="Arial"/>
          <w:color w:val="000000"/>
          <w:sz w:val="20"/>
          <w:szCs w:val="20"/>
        </w:rPr>
        <w:t xml:space="preserve">, realizou-se  a sessão pública para recebimento e abertura dos envelopes contendo as propostas de preços e as documentações de habilitação, apresentados em razão do certame licitatório na modalidade </w:t>
      </w:r>
      <w:r>
        <w:rPr>
          <w:rFonts w:cs="Arial" w:ascii="Arial" w:hAnsi="Arial"/>
          <w:b/>
          <w:bCs/>
          <w:color w:val="000000"/>
          <w:sz w:val="20"/>
          <w:szCs w:val="20"/>
        </w:rPr>
        <w:t>#PREGAO#</w:t>
      </w:r>
      <w:r>
        <w:rPr>
          <w:rFonts w:cs="Arial" w:ascii="Arial" w:hAnsi="Arial"/>
          <w:color w:val="000000"/>
          <w:sz w:val="20"/>
          <w:szCs w:val="20"/>
        </w:rPr>
        <w:t xml:space="preserve">, cujo objeto é </w:t>
      </w:r>
      <w:r>
        <w:rPr>
          <w:rFonts w:cs="Arial" w:ascii="Arial" w:hAnsi="Arial"/>
          <w:b/>
          <w:bCs/>
          <w:color w:val="000000"/>
          <w:sz w:val="20"/>
          <w:szCs w:val="20"/>
        </w:rPr>
        <w:t>#OBJETO#</w:t>
      </w:r>
      <w:r>
        <w:rPr>
          <w:rFonts w:cs="Arial" w:ascii="Arial" w:hAnsi="Arial"/>
          <w:color w:val="000000"/>
          <w:sz w:val="20"/>
          <w:szCs w:val="20"/>
        </w:rPr>
        <w:t>, conforme especificações mínimas constantes no Termo de Referência (Anexo I) deste Edital..  As especificações técnicas dos serviços, objeto deste Pregão, estão contidas no Anexo I do Termo de Referência do Edital. Presentes o Pregoeiro, #RESPONSAVEL# bem como, a Equipe de Apoio constituída pelos servidores: #COMISSAO#</w:t>
      </w:r>
      <w:r>
        <w:rPr>
          <w:rFonts w:cs="Arial" w:ascii="Arial" w:hAnsi="Arial"/>
          <w:color w:val="000000"/>
          <w:sz w:val="20"/>
          <w:szCs w:val="20"/>
          <w:shd w:fill="FFFF00" w:val="clear"/>
        </w:rPr>
        <w:t>, solicitados pela Pregoeira para prestarem apoio técnico e operacional no processo licitatório, nomeados pelas Portarias nº 1.092/2014 de 02/09/2014.</w:t>
      </w:r>
      <w:r>
        <w:rPr>
          <w:rFonts w:cs="Arial" w:ascii="Arial" w:hAnsi="Arial"/>
          <w:color w:val="000000"/>
          <w:sz w:val="20"/>
          <w:szCs w:val="20"/>
        </w:rPr>
        <w:t xml:space="preserve"> O Pregoeiro iniciou a sessão informando os procedimentos da mesma. </w:t>
      </w:r>
    </w:p>
    <w:p>
      <w:pPr>
        <w:pStyle w:val="Normal"/>
        <w:jc w:val="both"/>
        <w:rPr>
          <w:rFonts w:cs="Arial" w:ascii="Arial" w:hAnsi="Arial"/>
          <w:color w:val="000000"/>
        </w:rPr>
      </w:pPr>
      <w:r>
        <w:rPr>
          <w:rFonts w:cs="Arial" w:ascii="Arial" w:hAnsi="Arial"/>
          <w:color w:val="000000"/>
        </w:rPr>
        <w:t> </w:t>
      </w:r>
    </w:p>
    <w:p>
      <w:pPr>
        <w:pStyle w:val="Normal"/>
        <w:jc w:val="center"/>
        <w:rPr>
          <w:rFonts w:cs="Arial" w:ascii="Arial" w:hAnsi="Arial"/>
          <w:b/>
          <w:bCs/>
          <w:color w:val="000000"/>
          <w:sz w:val="20"/>
          <w:szCs w:val="20"/>
        </w:rPr>
      </w:pPr>
      <w:r>
        <w:rPr>
          <w:rFonts w:cs="Arial" w:ascii="Arial" w:hAnsi="Arial"/>
          <w:b/>
          <w:bCs/>
          <w:color w:val="000000"/>
          <w:sz w:val="20"/>
          <w:szCs w:val="20"/>
        </w:rPr>
        <w:t>DO CREDENCIAMENTO</w:t>
      </w:r>
    </w:p>
    <w:p>
      <w:pPr>
        <w:pStyle w:val="Normal"/>
        <w:jc w:val="both"/>
        <w:rPr>
          <w:rFonts w:cs="Arial" w:ascii="Arial" w:hAnsi="Arial"/>
          <w:color w:val="000000"/>
          <w:sz w:val="20"/>
          <w:szCs w:val="20"/>
        </w:rPr>
      </w:pPr>
      <w:r>
        <w:rPr>
          <w:rFonts w:cs="Arial" w:ascii="Arial" w:hAnsi="Arial"/>
          <w:color w:val="000000"/>
          <w:sz w:val="20"/>
          <w:szCs w:val="20"/>
        </w:rPr>
        <w:t> </w:t>
      </w:r>
    </w:p>
    <w:p>
      <w:pPr>
        <w:pStyle w:val="Normal"/>
        <w:jc w:val="both"/>
        <w:rPr>
          <w:rFonts w:cs="Arial" w:ascii="Arial" w:hAnsi="Arial"/>
          <w:color w:val="000000"/>
          <w:sz w:val="20"/>
          <w:szCs w:val="20"/>
        </w:rPr>
      </w:pPr>
      <w:r>
        <w:rPr>
          <w:rFonts w:cs="Arial" w:ascii="Arial" w:hAnsi="Arial"/>
          <w:color w:val="000000"/>
          <w:sz w:val="20"/>
          <w:szCs w:val="20"/>
        </w:rPr>
        <w:t xml:space="preserve">Na sequência, solicitou dos licitantes presentes a declaração de cumprimento dos requisitos de habilitação e dos documentos para credenciamento dos licitantes presentes: </w:t>
      </w:r>
    </w:p>
    <w:p>
      <w:pPr>
        <w:pStyle w:val="Normal"/>
        <w:jc w:val="both"/>
        <w:rPr/>
      </w:pPr>
      <w:r>
        <w:rPr/>
      </w:r>
    </w:p>
    <w:tbl>
      <w:tblPr>
        <w:jc w:val="left"/>
        <w:tblInd w:w="-90" w:type="dxa"/>
        <w:tblBorders>
          <w:top w:val="thickThinLargeGap" w:sz="6" w:space="0" w:color="999999"/>
          <w:left w:val="thickThinLargeGap" w:sz="6" w:space="0" w:color="999999"/>
          <w:bottom w:val="thickThinLargeGap" w:sz="6" w:space="0" w:color="999999"/>
          <w:insideH w:val="thickThinLargeGap" w:sz="6" w:space="0" w:color="999999"/>
          <w:right w:val="thickThinLargeGap" w:sz="6" w:space="0" w:color="999999"/>
          <w:insideV w:val="thickThinLargeGap" w:sz="6" w:space="0" w:color="999999"/>
        </w:tblBorders>
        <w:tblCellMar>
          <w:top w:w="15" w:type="dxa"/>
          <w:left w:w="-30" w:type="dxa"/>
          <w:bottom w:w="15" w:type="dxa"/>
          <w:right w:w="15" w:type="dxa"/>
        </w:tblCellMar>
      </w:tblPr>
      <w:tblGrid>
        <w:gridCol w:w="5101"/>
        <w:gridCol w:w="5101"/>
      </w:tblGrid>
      <w:tr>
        <w:trPr>
          <w:cantSplit w:val="false"/>
        </w:trPr>
        <w:tc>
          <w:tcPr>
            <w:tcW w:w="10202" w:type="dxa"/>
            <w:gridSpan w:val="2"/>
            <w:tcBorders>
              <w:top w:val="thickThinLargeGap" w:sz="6" w:space="0" w:color="999999"/>
              <w:left w:val="thickThinLargeGap" w:sz="6" w:space="0" w:color="999999"/>
              <w:bottom w:val="thickThinLargeGap" w:sz="6" w:space="0" w:color="999999"/>
              <w:insideH w:val="thickThinLargeGap" w:sz="6" w:space="0" w:color="999999"/>
              <w:right w:val="thickThinLargeGap" w:sz="6" w:space="0" w:color="999999"/>
              <w:insideV w:val="thickThinLargeGap" w:sz="6" w:space="0" w:color="999999"/>
            </w:tcBorders>
            <w:shd w:fill="FFFFFF" w:val="clear"/>
            <w:tcMar>
              <w:left w:w="-30" w:type="dxa"/>
            </w:tcMar>
            <w:vAlign w:val="center"/>
          </w:tcPr>
          <w:p>
            <w:pPr>
              <w:pStyle w:val="Normal"/>
              <w:widowControl/>
              <w:suppressAutoHyphens w:val="true"/>
              <w:bidi w:val="0"/>
              <w:spacing w:lineRule="auto" w:line="276" w:before="0" w:after="200"/>
              <w:jc w:val="left"/>
              <w:rPr>
                <w:rFonts w:cs="Arial" w:ascii="Arial" w:hAnsi="Arial"/>
                <w:b/>
                <w:bCs/>
                <w:sz w:val="20"/>
                <w:szCs w:val="20"/>
              </w:rPr>
            </w:pPr>
            <w:r>
              <w:rPr>
                <w:rFonts w:cs="Arial" w:ascii="Arial" w:hAnsi="Arial"/>
                <w:b/>
                <w:bCs/>
                <w:sz w:val="20"/>
                <w:szCs w:val="20"/>
              </w:rPr>
              <w:t>FORNECEDORES PARTICIPANTES</w:t>
            </w:r>
          </w:p>
        </w:tc>
      </w:tr>
      <w:tr>
        <w:trPr>
          <w:cantSplit w:val="false"/>
        </w:trPr>
        <w:tc>
          <w:tcPr>
            <w:tcW w:w="5101" w:type="dxa"/>
            <w:tcBorders>
              <w:top w:val="thickThinLargeGap" w:sz="6" w:space="0" w:color="999999"/>
              <w:left w:val="thickThinLargeGap" w:sz="6" w:space="0" w:color="999999"/>
              <w:bottom w:val="thickThinLargeGap" w:sz="6" w:space="0" w:color="999999"/>
              <w:insideH w:val="thickThinLargeGap" w:sz="6" w:space="0" w:color="999999"/>
              <w:right w:val="thickThinLargeGap" w:sz="6" w:space="0" w:color="999999"/>
              <w:insideV w:val="thickThinLargeGap" w:sz="6" w:space="0" w:color="999999"/>
            </w:tcBorders>
            <w:shd w:fill="CCCCCC" w:val="clear"/>
            <w:tcMar>
              <w:left w:w="-30" w:type="dxa"/>
            </w:tcMar>
            <w:vAlign w:val="center"/>
          </w:tcPr>
          <w:p>
            <w:pPr>
              <w:pStyle w:val="Normal"/>
              <w:spacing w:before="0" w:after="200"/>
              <w:jc w:val="center"/>
              <w:rPr>
                <w:rStyle w:val="Strong"/>
                <w:rFonts w:cs="Arial" w:ascii="Arial" w:hAnsi="Arial"/>
                <w:sz w:val="15"/>
                <w:szCs w:val="15"/>
              </w:rPr>
            </w:pPr>
            <w:r>
              <w:rPr>
                <w:rStyle w:val="Strong"/>
                <w:rFonts w:cs="Arial" w:ascii="Arial" w:hAnsi="Arial"/>
                <w:sz w:val="15"/>
                <w:szCs w:val="15"/>
              </w:rPr>
              <w:t>Licitante</w:t>
            </w:r>
          </w:p>
        </w:tc>
        <w:tc>
          <w:tcPr>
            <w:tcW w:w="5101" w:type="dxa"/>
            <w:tcBorders>
              <w:top w:val="thickThinLargeGap" w:sz="6" w:space="0" w:color="999999"/>
              <w:left w:val="thickThinLargeGap" w:sz="6" w:space="0" w:color="999999"/>
              <w:bottom w:val="thickThinLargeGap" w:sz="6" w:space="0" w:color="999999"/>
              <w:insideH w:val="thickThinLargeGap" w:sz="6" w:space="0" w:color="999999"/>
              <w:right w:val="thickThinLargeGap" w:sz="6" w:space="0" w:color="999999"/>
              <w:insideV w:val="thickThinLargeGap" w:sz="6" w:space="0" w:color="999999"/>
            </w:tcBorders>
            <w:shd w:fill="CCCCCC" w:val="clear"/>
            <w:tcMar>
              <w:left w:w="-30" w:type="dxa"/>
            </w:tcMar>
            <w:vAlign w:val="center"/>
          </w:tcPr>
          <w:p>
            <w:pPr>
              <w:pStyle w:val="Normal"/>
              <w:spacing w:before="0" w:after="200"/>
              <w:jc w:val="center"/>
              <w:rPr>
                <w:rStyle w:val="Strong"/>
                <w:rFonts w:cs="Arial" w:ascii="Arial" w:hAnsi="Arial"/>
                <w:sz w:val="15"/>
                <w:szCs w:val="15"/>
              </w:rPr>
            </w:pPr>
            <w:r>
              <w:rPr>
                <w:rStyle w:val="Strong"/>
                <w:rFonts w:cs="Arial" w:ascii="Arial" w:hAnsi="Arial"/>
                <w:sz w:val="15"/>
                <w:szCs w:val="15"/>
              </w:rPr>
              <w:t>Representante</w:t>
            </w:r>
          </w:p>
        </w:tc>
      </w:tr>
      <w:tr>
        <w:trPr>
          <w:cantSplit w:val="false"/>
        </w:trPr>
        <w:tc>
          <w:tcPr>
            <w:tcW w:w="5101" w:type="dxa"/>
            <w:tcBorders>
              <w:top w:val="thickThinLargeGap" w:sz="6" w:space="0" w:color="999999"/>
              <w:left w:val="thickThinLargeGap" w:sz="6" w:space="0" w:color="999999"/>
              <w:bottom w:val="thickThinLargeGap" w:sz="6" w:space="0" w:color="999999"/>
              <w:insideH w:val="thickThinLargeGap" w:sz="6" w:space="0" w:color="999999"/>
              <w:right w:val="thickThinLargeGap" w:sz="6" w:space="0" w:color="999999"/>
              <w:insideV w:val="thickThinLargeGap" w:sz="6" w:space="0" w:color="999999"/>
            </w:tcBorders>
            <w:shd w:fill="FFFFFF" w:val="clear"/>
            <w:tcMar>
              <w:left w:w="-30" w:type="dxa"/>
            </w:tcMar>
            <w:vAlign w:val="center"/>
          </w:tcPr>
          <w:p>
            <w:pPr>
              <w:pStyle w:val="Normal"/>
              <w:widowControl/>
              <w:suppressAutoHyphens w:val="true"/>
              <w:bidi w:val="0"/>
              <w:spacing w:lineRule="auto" w:line="276" w:before="0" w:after="200"/>
              <w:jc w:val="left"/>
              <w:rPr>
                <w:rStyle w:val="Strong"/>
                <w:rFonts w:cs="Arial" w:ascii="Arial" w:hAnsi="Arial"/>
                <w:sz w:val="15"/>
                <w:szCs w:val="15"/>
              </w:rPr>
            </w:pPr>
            <w:r>
              <w:rPr>
                <w:rStyle w:val="Strong"/>
                <w:rFonts w:cs="Arial" w:ascii="Arial" w:hAnsi="Arial"/>
                <w:sz w:val="15"/>
                <w:szCs w:val="15"/>
              </w:rPr>
              <w:t>Razão Social / CNPJ / CPF</w:t>
            </w:r>
          </w:p>
        </w:tc>
        <w:tc>
          <w:tcPr>
            <w:tcW w:w="5101" w:type="dxa"/>
            <w:tcBorders>
              <w:top w:val="thickThinLargeGap" w:sz="6" w:space="0" w:color="999999"/>
              <w:left w:val="thickThinLargeGap" w:sz="6" w:space="0" w:color="999999"/>
              <w:bottom w:val="thickThinLargeGap" w:sz="6" w:space="0" w:color="999999"/>
              <w:insideH w:val="thickThinLargeGap" w:sz="6" w:space="0" w:color="999999"/>
              <w:right w:val="thickThinLargeGap" w:sz="6" w:space="0" w:color="999999"/>
              <w:insideV w:val="thickThinLargeGap" w:sz="6" w:space="0" w:color="999999"/>
            </w:tcBorders>
            <w:shd w:fill="FFFFFF" w:val="clear"/>
            <w:tcMar>
              <w:left w:w="-30" w:type="dxa"/>
            </w:tcMar>
            <w:vAlign w:val="center"/>
          </w:tcPr>
          <w:p>
            <w:pPr>
              <w:pStyle w:val="Normal"/>
              <w:widowControl/>
              <w:suppressAutoHyphens w:val="true"/>
              <w:bidi w:val="0"/>
              <w:spacing w:lineRule="auto" w:line="276" w:before="0" w:after="200"/>
              <w:jc w:val="left"/>
              <w:rPr>
                <w:rStyle w:val="Strong"/>
                <w:rFonts w:cs="Arial" w:ascii="Arial" w:hAnsi="Arial"/>
                <w:sz w:val="15"/>
                <w:szCs w:val="15"/>
              </w:rPr>
            </w:pPr>
            <w:r>
              <w:rPr>
                <w:rStyle w:val="Strong"/>
                <w:rFonts w:cs="Arial" w:ascii="Arial" w:hAnsi="Arial"/>
                <w:sz w:val="15"/>
                <w:szCs w:val="15"/>
              </w:rPr>
              <w:t>Nome / Identidade / Emissor</w:t>
            </w:r>
          </w:p>
        </w:tc>
      </w:tr>
      <w:tr>
        <w:trPr>
          <w:cantSplit w:val="false"/>
        </w:trPr>
        <w:tc>
          <w:tcPr>
            <w:tcW w:w="5101" w:type="dxa"/>
            <w:tcBorders>
              <w:top w:val="thickThinLargeGap" w:sz="6" w:space="0" w:color="999999"/>
              <w:left w:val="thickThinLargeGap" w:sz="6" w:space="0" w:color="999999"/>
              <w:bottom w:val="thickThinLargeGap" w:sz="6" w:space="0" w:color="999999"/>
              <w:insideH w:val="thickThinLargeGap" w:sz="6" w:space="0" w:color="999999"/>
              <w:right w:val="thickThinLargeGap" w:sz="6" w:space="0" w:color="999999"/>
              <w:insideV w:val="thickThinLargeGap" w:sz="6" w:space="0" w:color="999999"/>
            </w:tcBorders>
            <w:shd w:fill="FFFFFF" w:val="clear"/>
            <w:tcMar>
              <w:left w:w="-30" w:type="dxa"/>
            </w:tcMar>
            <w:vAlign w:val="center"/>
          </w:tcPr>
          <w:p>
            <w:pPr>
              <w:pStyle w:val="Normal"/>
              <w:widowControl/>
              <w:suppressAutoHyphens w:val="true"/>
              <w:bidi w:val="0"/>
              <w:spacing w:lineRule="auto" w:line="276" w:before="0" w:after="200"/>
              <w:jc w:val="left"/>
              <w:rPr>
                <w:rFonts w:cs="Arial" w:ascii="Arial" w:hAnsi="Arial"/>
                <w:sz w:val="15"/>
                <w:szCs w:val="15"/>
              </w:rPr>
            </w:pPr>
            <w:r>
              <w:rPr>
                <w:rFonts w:cs="Arial" w:ascii="Arial" w:hAnsi="Arial"/>
                <w:sz w:val="15"/>
                <w:szCs w:val="15"/>
              </w:rPr>
              <w:t>#PARTICIPANTES#</w:t>
            </w:r>
          </w:p>
        </w:tc>
        <w:tc>
          <w:tcPr>
            <w:tcW w:w="5101" w:type="dxa"/>
            <w:tcBorders>
              <w:top w:val="thickThinLargeGap" w:sz="6" w:space="0" w:color="999999"/>
              <w:left w:val="thickThinLargeGap" w:sz="6" w:space="0" w:color="999999"/>
              <w:bottom w:val="thickThinLargeGap" w:sz="6" w:space="0" w:color="999999"/>
              <w:insideH w:val="thickThinLargeGap" w:sz="6" w:space="0" w:color="999999"/>
              <w:right w:val="thickThinLargeGap" w:sz="6" w:space="0" w:color="999999"/>
              <w:insideV w:val="thickThinLargeGap" w:sz="6" w:space="0" w:color="999999"/>
            </w:tcBorders>
            <w:shd w:fill="FFFFFF" w:val="clear"/>
            <w:tcMar>
              <w:left w:w="-30" w:type="dxa"/>
            </w:tcMar>
            <w:vAlign w:val="center"/>
          </w:tcPr>
          <w:p>
            <w:pPr>
              <w:pStyle w:val="Normal"/>
              <w:widowControl/>
              <w:suppressAutoHyphens w:val="true"/>
              <w:bidi w:val="0"/>
              <w:spacing w:lineRule="auto" w:line="276" w:before="0" w:after="200"/>
              <w:jc w:val="left"/>
              <w:rPr/>
            </w:pPr>
            <w:r>
              <w:rPr/>
            </w:r>
          </w:p>
        </w:tc>
      </w:tr>
    </w:tbl>
    <w:p>
      <w:pPr>
        <w:pStyle w:val="Normal"/>
        <w:rPr>
          <w:sz w:val="15"/>
          <w:szCs w:val="15"/>
        </w:rPr>
      </w:pPr>
      <w:r>
        <w:rPr>
          <w:sz w:val="15"/>
          <w:szCs w:val="15"/>
        </w:rPr>
      </w:r>
    </w:p>
    <w:p>
      <w:pPr>
        <w:pStyle w:val="Normal"/>
        <w:spacing w:before="0" w:after="240"/>
        <w:jc w:val="both"/>
        <w:rPr>
          <w:rFonts w:cs="Arial" w:ascii="Arial" w:hAnsi="Arial"/>
          <w:color w:val="000000"/>
          <w:sz w:val="20"/>
          <w:szCs w:val="20"/>
        </w:rPr>
      </w:pPr>
      <w:r>
        <w:rPr>
          <w:rFonts w:cs="Arial" w:ascii="Arial" w:hAnsi="Arial"/>
          <w:color w:val="000000"/>
          <w:sz w:val="20"/>
          <w:szCs w:val="20"/>
        </w:rPr>
        <w:t xml:space="preserve">Finalizado o credenciamento foram recebidos os envelopes contendo as propostas de preços e a documentação de habilitação (envelopes nº 01 e 02) das mãos dos representantes credenciados. </w:t>
      </w:r>
    </w:p>
    <w:p>
      <w:pPr>
        <w:pStyle w:val="Normal"/>
        <w:jc w:val="center"/>
        <w:rPr>
          <w:rFonts w:cs="Arial" w:ascii="Arial" w:hAnsi="Arial"/>
          <w:color w:val="000000"/>
          <w:sz w:val="20"/>
          <w:szCs w:val="20"/>
        </w:rPr>
      </w:pPr>
      <w:r>
        <w:rPr>
          <w:rFonts w:cs="Arial" w:ascii="Arial" w:hAnsi="Arial"/>
          <w:color w:val="000000"/>
          <w:sz w:val="20"/>
          <w:szCs w:val="20"/>
        </w:rPr>
        <w:t> </w:t>
      </w:r>
    </w:p>
    <w:p>
      <w:pPr>
        <w:pStyle w:val="Normal"/>
        <w:jc w:val="center"/>
        <w:rPr>
          <w:rFonts w:cs="Arial" w:ascii="Arial" w:hAnsi="Arial"/>
          <w:b/>
          <w:bCs/>
          <w:color w:val="000000"/>
          <w:sz w:val="20"/>
          <w:szCs w:val="20"/>
        </w:rPr>
      </w:pPr>
      <w:r>
        <w:rPr>
          <w:rFonts w:cs="Arial" w:ascii="Arial" w:hAnsi="Arial"/>
          <w:b/>
          <w:bCs/>
          <w:color w:val="000000"/>
          <w:sz w:val="20"/>
          <w:szCs w:val="20"/>
        </w:rPr>
        <w:t>DO REGISTRO DO PREGÃO</w:t>
      </w:r>
    </w:p>
    <w:p>
      <w:pPr>
        <w:pStyle w:val="Normal"/>
        <w:jc w:val="both"/>
        <w:rPr>
          <w:rFonts w:cs="Arial" w:ascii="Arial" w:hAnsi="Arial"/>
          <w:color w:val="000000"/>
          <w:sz w:val="20"/>
          <w:szCs w:val="20"/>
        </w:rPr>
      </w:pPr>
      <w:r>
        <w:rPr>
          <w:rFonts w:cs="Arial" w:ascii="Arial" w:hAnsi="Arial"/>
          <w:color w:val="000000"/>
          <w:sz w:val="20"/>
          <w:szCs w:val="20"/>
        </w:rPr>
        <w:t> </w:t>
      </w:r>
    </w:p>
    <w:p>
      <w:pPr>
        <w:pStyle w:val="Normal"/>
        <w:jc w:val="both"/>
        <w:rPr>
          <w:rFonts w:cs="Arial" w:ascii="Arial" w:hAnsi="Arial"/>
          <w:color w:val="000000"/>
          <w:sz w:val="20"/>
          <w:szCs w:val="20"/>
        </w:rPr>
      </w:pPr>
      <w:r>
        <w:rPr>
          <w:rFonts w:cs="Arial" w:ascii="Arial" w:hAnsi="Arial"/>
          <w:color w:val="000000"/>
          <w:sz w:val="20"/>
          <w:szCs w:val="20"/>
        </w:rPr>
        <w:t xml:space="preserve">Ato contínuo, foram abertos os Envelopes contendo as Propostas e, com a colaboração dos membros da Equipe de Apoio, o Pregoeiro examinou a compatibilidade do objeto, prazos e condições de fornecimento ou de execução, com aqueles definidos no Edital, tendo selecionados todos os licitantes para participarem da Fase de Lances em razão dos preços propostos estarem em conformidade  com as exigências do edital. </w:t>
      </w:r>
    </w:p>
    <w:p>
      <w:pPr>
        <w:pStyle w:val="Normal"/>
        <w:jc w:val="both"/>
        <w:rPr>
          <w:rFonts w:cs="Arial" w:ascii="Arial" w:hAnsi="Arial"/>
          <w:color w:val="000000"/>
        </w:rPr>
      </w:pPr>
      <w:r>
        <w:rPr>
          <w:rFonts w:cs="Arial" w:ascii="Arial" w:hAnsi="Arial"/>
          <w:color w:val="000000"/>
        </w:rPr>
        <w:t> </w:t>
      </w:r>
    </w:p>
    <w:p>
      <w:pPr>
        <w:pStyle w:val="Normal"/>
        <w:jc w:val="center"/>
        <w:rPr>
          <w:rFonts w:cs="Arial" w:ascii="Arial" w:hAnsi="Arial"/>
          <w:b/>
          <w:bCs/>
          <w:color w:val="000000"/>
          <w:sz w:val="20"/>
          <w:szCs w:val="20"/>
        </w:rPr>
      </w:pPr>
      <w:r>
        <w:rPr>
          <w:rFonts w:cs="Arial" w:ascii="Arial" w:hAnsi="Arial"/>
          <w:b/>
          <w:bCs/>
          <w:color w:val="000000"/>
          <w:sz w:val="20"/>
          <w:szCs w:val="20"/>
        </w:rPr>
        <w:t>DOS LANCES</w:t>
      </w:r>
    </w:p>
    <w:p>
      <w:pPr>
        <w:pStyle w:val="Normal"/>
        <w:jc w:val="center"/>
        <w:rPr>
          <w:rFonts w:cs="Arial" w:ascii="Arial" w:hAnsi="Arial"/>
          <w:color w:val="000000"/>
          <w:sz w:val="20"/>
          <w:szCs w:val="20"/>
        </w:rPr>
      </w:pPr>
      <w:r>
        <w:rPr>
          <w:rFonts w:cs="Arial" w:ascii="Arial" w:hAnsi="Arial"/>
          <w:color w:val="000000"/>
          <w:sz w:val="20"/>
          <w:szCs w:val="20"/>
        </w:rPr>
        <w:t> </w:t>
      </w:r>
    </w:p>
    <w:p>
      <w:pPr>
        <w:pStyle w:val="Normal"/>
        <w:jc w:val="both"/>
        <w:rPr>
          <w:rFonts w:cs="Arial" w:ascii="Arial" w:hAnsi="Arial"/>
          <w:color w:val="000000"/>
          <w:sz w:val="20"/>
          <w:szCs w:val="20"/>
        </w:rPr>
      </w:pPr>
      <w:r>
        <w:rPr>
          <w:rFonts w:cs="Arial" w:ascii="Arial" w:hAnsi="Arial"/>
          <w:b/>
          <w:color w:val="000000"/>
          <w:sz w:val="20"/>
          <w:szCs w:val="20"/>
        </w:rPr>
        <w:t>O</w:t>
      </w:r>
      <w:r>
        <w:rPr>
          <w:rFonts w:cs="Arial" w:ascii="Arial" w:hAnsi="Arial"/>
          <w:color w:val="000000"/>
          <w:sz w:val="20"/>
          <w:szCs w:val="20"/>
        </w:rPr>
        <w:t xml:space="preserve"> </w:t>
      </w:r>
      <w:r>
        <w:rPr>
          <w:rFonts w:cs="Arial" w:ascii="Arial" w:hAnsi="Arial"/>
          <w:b/>
          <w:color w:val="000000"/>
          <w:sz w:val="20"/>
          <w:szCs w:val="20"/>
        </w:rPr>
        <w:t>Sr. Pregoeiro</w:t>
      </w:r>
      <w:r>
        <w:rPr>
          <w:rFonts w:cs="Arial" w:ascii="Arial" w:hAnsi="Arial"/>
          <w:color w:val="000000"/>
          <w:sz w:val="20"/>
          <w:szCs w:val="20"/>
        </w:rPr>
        <w:t xml:space="preserve">, com auxílio da Equipe de Pregão, deu início aos lances verbais, solicitando ao (os) representante (es) da (as) licitante (es) que ofertasse (em) seus lance (es) para o (os) </w:t>
      </w:r>
      <w:r>
        <w:rPr>
          <w:rFonts w:cs="Arial" w:ascii="Arial" w:hAnsi="Arial"/>
          <w:b/>
          <w:color w:val="000000"/>
          <w:sz w:val="20"/>
          <w:szCs w:val="20"/>
          <w:shd w:fill="FFFF00" w:val="clear"/>
        </w:rPr>
        <w:t>ITENS</w:t>
      </w:r>
      <w:r>
        <w:rPr>
          <w:rFonts w:cs="Arial" w:ascii="Arial" w:hAnsi="Arial"/>
          <w:color w:val="000000"/>
          <w:sz w:val="20"/>
          <w:szCs w:val="20"/>
        </w:rPr>
        <w:t xml:space="preserve"> em sequência, conforme mapa de lance (es) e classificação anexo.</w:t>
      </w:r>
    </w:p>
    <w:p>
      <w:pPr>
        <w:pStyle w:val="Normal"/>
        <w:jc w:val="both"/>
        <w:rPr>
          <w:rFonts w:cs="Arial" w:ascii="Arial" w:hAnsi="Arial"/>
          <w:color w:val="000000"/>
        </w:rPr>
      </w:pPr>
      <w:r>
        <w:rPr>
          <w:rFonts w:cs="Arial" w:ascii="Arial" w:hAnsi="Arial"/>
          <w:color w:val="000000"/>
        </w:rPr>
        <w:t> </w:t>
      </w:r>
    </w:p>
    <w:p>
      <w:pPr>
        <w:pStyle w:val="Normal"/>
        <w:jc w:val="both"/>
        <w:rPr>
          <w:rFonts w:cs="Arial" w:ascii="Arial" w:hAnsi="Arial"/>
          <w:color w:val="000000"/>
        </w:rPr>
      </w:pPr>
      <w:r>
        <w:rPr>
          <w:rFonts w:cs="Arial" w:ascii="Arial" w:hAnsi="Arial"/>
          <w:color w:val="000000"/>
        </w:rPr>
        <w:t> </w:t>
      </w:r>
    </w:p>
    <w:p>
      <w:pPr>
        <w:pStyle w:val="Normal"/>
        <w:jc w:val="center"/>
        <w:rPr>
          <w:rFonts w:cs="Arial" w:ascii="Arial" w:hAnsi="Arial"/>
          <w:b/>
          <w:bCs/>
          <w:color w:val="000000"/>
          <w:sz w:val="20"/>
          <w:szCs w:val="20"/>
        </w:rPr>
      </w:pPr>
      <w:r>
        <w:rPr>
          <w:rFonts w:cs="Arial" w:ascii="Arial" w:hAnsi="Arial"/>
          <w:b/>
          <w:bCs/>
          <w:color w:val="000000"/>
          <w:sz w:val="20"/>
          <w:szCs w:val="20"/>
        </w:rPr>
        <w:t>DA HABILITAÇÃO</w:t>
      </w:r>
    </w:p>
    <w:p>
      <w:pPr>
        <w:pStyle w:val="Normal"/>
        <w:jc w:val="center"/>
        <w:rPr>
          <w:rFonts w:cs="Arial" w:ascii="Arial" w:hAnsi="Arial"/>
          <w:color w:val="000000"/>
          <w:sz w:val="20"/>
          <w:szCs w:val="20"/>
        </w:rPr>
      </w:pPr>
      <w:r>
        <w:rPr>
          <w:rFonts w:cs="Arial" w:ascii="Arial" w:hAnsi="Arial"/>
          <w:color w:val="000000"/>
          <w:sz w:val="20"/>
          <w:szCs w:val="20"/>
        </w:rPr>
        <w:t> </w:t>
      </w:r>
    </w:p>
    <w:p>
      <w:pPr>
        <w:pStyle w:val="Normal"/>
        <w:jc w:val="both"/>
        <w:rPr>
          <w:rFonts w:cs="Arial" w:ascii="Arial" w:hAnsi="Arial"/>
          <w:color w:val="000000"/>
          <w:sz w:val="20"/>
          <w:szCs w:val="20"/>
        </w:rPr>
      </w:pPr>
      <w:r>
        <w:rPr>
          <w:rFonts w:cs="Arial" w:ascii="Arial" w:hAnsi="Arial"/>
          <w:color w:val="000000"/>
          <w:sz w:val="20"/>
          <w:szCs w:val="20"/>
        </w:rPr>
        <w:t xml:space="preserve">Em seguida, foi analisada a aceitabilidade da proposta detentora do menor preço, conforme previsto no edital. Posteriormente, foi analisada a documentação da referida empresa. </w:t>
      </w:r>
    </w:p>
    <w:p>
      <w:pPr>
        <w:pStyle w:val="Normal"/>
        <w:jc w:val="both"/>
        <w:rPr>
          <w:rFonts w:cs="Arial" w:ascii="Arial" w:hAnsi="Arial"/>
          <w:color w:val="000000"/>
          <w:sz w:val="20"/>
          <w:szCs w:val="20"/>
        </w:rPr>
      </w:pPr>
      <w:r>
        <w:rPr>
          <w:rFonts w:cs="Arial" w:ascii="Arial" w:hAnsi="Arial"/>
          <w:color w:val="000000"/>
          <w:sz w:val="20"/>
          <w:szCs w:val="20"/>
        </w:rPr>
        <w:t> </w:t>
      </w:r>
    </w:p>
    <w:p>
      <w:pPr>
        <w:pStyle w:val="Normal"/>
        <w:jc w:val="center"/>
        <w:rPr>
          <w:rFonts w:cs="Arial" w:ascii="Arial" w:hAnsi="Arial"/>
          <w:b/>
          <w:bCs/>
          <w:color w:val="000000"/>
          <w:sz w:val="20"/>
          <w:szCs w:val="20"/>
        </w:rPr>
      </w:pPr>
      <w:r>
        <w:rPr>
          <w:rFonts w:cs="Arial" w:ascii="Arial" w:hAnsi="Arial"/>
          <w:b/>
          <w:bCs/>
          <w:color w:val="000000"/>
          <w:sz w:val="20"/>
          <w:szCs w:val="20"/>
        </w:rPr>
        <w:t>DO RESULTADO</w:t>
      </w:r>
    </w:p>
    <w:p>
      <w:pPr>
        <w:pStyle w:val="Normal"/>
        <w:jc w:val="center"/>
        <w:rPr>
          <w:rFonts w:cs="Arial" w:ascii="Arial" w:hAnsi="Arial"/>
          <w:color w:val="000000"/>
        </w:rPr>
      </w:pPr>
      <w:r>
        <w:rPr>
          <w:rFonts w:cs="Arial" w:ascii="Arial" w:hAnsi="Arial"/>
          <w:color w:val="000000"/>
        </w:rPr>
        <w:t> </w:t>
      </w:r>
    </w:p>
    <w:p>
      <w:pPr>
        <w:pStyle w:val="Normal"/>
        <w:jc w:val="both"/>
        <w:rPr>
          <w:color w:val="000000"/>
          <w:sz w:val="20"/>
          <w:szCs w:val="20"/>
        </w:rPr>
      </w:pPr>
      <w:r>
        <w:rPr>
          <w:rFonts w:cs="Arial" w:ascii="Arial" w:hAnsi="Arial"/>
        </w:rPr>
        <w:br/>
      </w:r>
      <w:r>
        <w:rPr>
          <w:color w:val="000000"/>
          <w:sz w:val="20"/>
          <w:szCs w:val="20"/>
        </w:rPr>
        <w:t>Diante da aceitabilidade da proposta e regularidade frente às exigências de habilitação contidas no instrumento convocatório, foi declarada pelo Pregoeiro e equipe, a vencedora do certame, a empresa:</w:t>
      </w:r>
    </w:p>
    <w:p>
      <w:pPr>
        <w:pStyle w:val="NormalWeb"/>
        <w:rPr>
          <w:rFonts w:cs="Arial" w:ascii="Arial" w:hAnsi="Arial"/>
          <w:color w:val="000000"/>
          <w:sz w:val="15"/>
          <w:szCs w:val="15"/>
        </w:rPr>
      </w:pPr>
      <w:r>
        <w:rPr>
          <w:rFonts w:cs="Arial" w:ascii="Arial" w:hAnsi="Arial"/>
          <w:b/>
          <w:bCs/>
          <w:color w:val="000000"/>
          <w:sz w:val="15"/>
          <w:szCs w:val="15"/>
        </w:rPr>
        <w:t>PONTANEGRA AUTOMÓVEIS LTDA</w:t>
      </w:r>
      <w:r>
        <w:rPr>
          <w:rFonts w:cs="Arial" w:ascii="Arial" w:hAnsi="Arial"/>
          <w:color w:val="000000"/>
          <w:sz w:val="15"/>
          <w:szCs w:val="15"/>
        </w:rPr>
        <w:t xml:space="preserve">- CNPJ: 40.757.908/0001-69 , saiu vencedor(a) no(s) item(ns) : 1 ; totalizando o valor de </w:t>
      </w:r>
      <w:r>
        <w:rPr>
          <w:rFonts w:cs="Arial" w:ascii="Arial" w:hAnsi="Arial"/>
          <w:b/>
          <w:bCs/>
          <w:color w:val="000000"/>
          <w:sz w:val="15"/>
          <w:szCs w:val="15"/>
        </w:rPr>
        <w:t>R$ 46.000,00 (quarenta e seis mil reais)</w:t>
      </w:r>
      <w:r>
        <w:rPr>
          <w:rFonts w:cs="Arial" w:ascii="Arial" w:hAnsi="Arial"/>
          <w:color w:val="000000"/>
          <w:sz w:val="15"/>
          <w:szCs w:val="15"/>
        </w:rPr>
        <w:t>.</w:t>
      </w:r>
    </w:p>
    <w:p>
      <w:pPr>
        <w:pStyle w:val="Normal"/>
        <w:rPr/>
      </w:pPr>
      <w:r>
        <w:rPr>
          <w:rFonts w:cs="Arial" w:ascii="Arial" w:hAnsi="Arial"/>
          <w:color w:val="000000"/>
          <w:sz w:val="15"/>
          <w:szCs w:val="15"/>
        </w:rPr>
        <w:t>.</w:t>
      </w:r>
      <w:r>
        <w:rPr/>
        <w:t xml:space="preserve"> </w:t>
      </w:r>
    </w:p>
    <w:p>
      <w:pPr>
        <w:pStyle w:val="Normal"/>
        <w:jc w:val="both"/>
        <w:rPr>
          <w:rFonts w:cs="Arial" w:ascii="Arial" w:hAnsi="Arial"/>
          <w:color w:val="000000"/>
        </w:rPr>
      </w:pPr>
      <w:r>
        <w:rPr>
          <w:rFonts w:cs="Arial" w:ascii="Arial" w:hAnsi="Arial"/>
          <w:color w:val="000000"/>
        </w:rPr>
        <w:t> </w:t>
      </w:r>
    </w:p>
    <w:p>
      <w:pPr>
        <w:pStyle w:val="Normal"/>
        <w:jc w:val="center"/>
        <w:rPr>
          <w:rFonts w:cs="Arial" w:ascii="Arial" w:hAnsi="Arial"/>
          <w:b/>
          <w:bCs/>
          <w:color w:val="000000"/>
          <w:sz w:val="20"/>
          <w:szCs w:val="20"/>
        </w:rPr>
      </w:pPr>
      <w:r>
        <w:rPr>
          <w:rFonts w:cs="Arial" w:ascii="Arial" w:hAnsi="Arial"/>
          <w:b/>
          <w:bCs/>
          <w:color w:val="000000"/>
          <w:sz w:val="20"/>
          <w:szCs w:val="20"/>
        </w:rPr>
        <w:t>DAS OCORRÊNCIAS DA SESSÃO PÚBLICO</w:t>
      </w:r>
    </w:p>
    <w:p>
      <w:pPr>
        <w:pStyle w:val="Normal"/>
        <w:jc w:val="both"/>
        <w:rPr>
          <w:sz w:val="20"/>
          <w:szCs w:val="20"/>
        </w:rPr>
      </w:pPr>
      <w:r>
        <w:rPr>
          <w:sz w:val="20"/>
          <w:szCs w:val="20"/>
        </w:rPr>
      </w:r>
    </w:p>
    <w:p>
      <w:pPr>
        <w:pStyle w:val="Normal"/>
        <w:jc w:val="both"/>
        <w:rPr>
          <w:rFonts w:cs="Arial" w:ascii="Arial" w:hAnsi="Arial"/>
          <w:color w:val="000000"/>
          <w:sz w:val="20"/>
          <w:szCs w:val="20"/>
        </w:rPr>
      </w:pPr>
      <w:r>
        <w:rPr>
          <w:rFonts w:cs="Arial" w:ascii="Arial" w:hAnsi="Arial"/>
          <w:color w:val="000000"/>
          <w:sz w:val="20"/>
          <w:szCs w:val="20"/>
        </w:rPr>
        <w:t> </w:t>
      </w:r>
      <w:r>
        <w:rPr>
          <w:rFonts w:cs="Arial" w:ascii="Arial" w:hAnsi="Arial"/>
          <w:color w:val="000000"/>
          <w:sz w:val="20"/>
          <w:szCs w:val="20"/>
        </w:rPr>
        <w:t>#OCORRENCIAS#</w:t>
      </w:r>
    </w:p>
    <w:p>
      <w:pPr>
        <w:pStyle w:val="NormalWeb"/>
        <w:rPr>
          <w:sz w:val="20"/>
          <w:szCs w:val="20"/>
        </w:rPr>
      </w:pPr>
      <w:r>
        <w:rPr>
          <w:sz w:val="20"/>
          <w:szCs w:val="20"/>
        </w:rPr>
      </w:r>
    </w:p>
    <w:p>
      <w:pPr>
        <w:pStyle w:val="Normal"/>
        <w:jc w:val="both"/>
        <w:rPr>
          <w:rFonts w:cs="Arial" w:ascii="Arial" w:hAnsi="Arial"/>
          <w:color w:val="000000"/>
        </w:rPr>
      </w:pPr>
      <w:r>
        <w:rPr>
          <w:rFonts w:cs="Arial" w:ascii="Arial" w:hAnsi="Arial"/>
          <w:color w:val="000000"/>
        </w:rPr>
        <w:t> </w:t>
      </w:r>
    </w:p>
    <w:p>
      <w:pPr>
        <w:pStyle w:val="NormalWeb"/>
        <w:rPr>
          <w:color w:val="000000"/>
        </w:rPr>
      </w:pPr>
      <w:r>
        <w:rPr>
          <w:color w:val="000000"/>
        </w:rPr>
        <w:t> </w:t>
      </w:r>
    </w:p>
    <w:p>
      <w:pPr>
        <w:pStyle w:val="Normal"/>
        <w:jc w:val="both"/>
        <w:rPr>
          <w:color w:val="000000"/>
        </w:rPr>
      </w:pPr>
      <w:r>
        <w:rPr>
          <w:color w:val="000000"/>
        </w:rPr>
        <w:t> </w:t>
      </w:r>
    </w:p>
    <w:p>
      <w:pPr>
        <w:pStyle w:val="Normal"/>
        <w:jc w:val="center"/>
        <w:rPr>
          <w:rFonts w:cs="Arial" w:ascii="Arial" w:hAnsi="Arial"/>
          <w:b/>
          <w:bCs/>
          <w:color w:val="000000"/>
          <w:sz w:val="20"/>
          <w:szCs w:val="20"/>
        </w:rPr>
      </w:pPr>
      <w:r>
        <w:rPr>
          <w:rFonts w:cs="Arial" w:ascii="Arial" w:hAnsi="Arial"/>
          <w:b/>
          <w:bCs/>
          <w:color w:val="000000"/>
          <w:sz w:val="20"/>
          <w:szCs w:val="20"/>
        </w:rPr>
        <w:t>DO ENCERRAMENTO</w:t>
      </w:r>
    </w:p>
    <w:p>
      <w:pPr>
        <w:pStyle w:val="Normal"/>
        <w:jc w:val="center"/>
        <w:rPr>
          <w:rFonts w:cs="Arial" w:ascii="Arial" w:hAnsi="Arial"/>
          <w:color w:val="000000"/>
          <w:sz w:val="20"/>
          <w:szCs w:val="20"/>
        </w:rPr>
      </w:pPr>
      <w:r>
        <w:rPr>
          <w:rFonts w:cs="Arial" w:ascii="Arial" w:hAnsi="Arial"/>
          <w:color w:val="000000"/>
          <w:sz w:val="20"/>
          <w:szCs w:val="20"/>
        </w:rPr>
        <w:t> </w:t>
      </w:r>
    </w:p>
    <w:p>
      <w:pPr>
        <w:pStyle w:val="Normal"/>
        <w:jc w:val="both"/>
        <w:rPr>
          <w:rFonts w:cs="Arial" w:ascii="Arial" w:hAnsi="Arial"/>
          <w:color w:val="000000"/>
          <w:sz w:val="20"/>
          <w:szCs w:val="20"/>
        </w:rPr>
      </w:pPr>
      <w:r>
        <w:rPr>
          <w:rFonts w:cs="Arial" w:ascii="Arial" w:hAnsi="Arial"/>
          <w:color w:val="000000"/>
          <w:sz w:val="20"/>
          <w:szCs w:val="20"/>
        </w:rPr>
        <w:t xml:space="preserve">O Pregoeiro, após encerramento desta fase, concedeu aos proponentes vistas ao processo e a todos os documentos. Franqueada a palavra, para observações, questionamentos e/ou interposição de recursos, caso alguém assim desejasse, como nenhum dos proponentes manifestou intenção de recorrer, pelo que renunciam, desde logo, em caráter irrevogável e irretratável, ao direito de interposição de recurso. Nada mais havendo a tratar, o Pregoeiro declarou encerrados os trabalhos, lavrando-se a presente Ata que vai assinada pelos presentes. Nada mais havendo a declarar foi encerrada a sessão às </w:t>
      </w:r>
      <w:r>
        <w:rPr>
          <w:rFonts w:cs="Arial" w:ascii="Arial" w:hAnsi="Arial"/>
          <w:color w:val="000000"/>
          <w:sz w:val="20"/>
          <w:szCs w:val="20"/>
          <w:shd w:fill="FFFF00" w:val="clear"/>
        </w:rPr>
        <w:t>09:30 h</w:t>
      </w:r>
      <w:r>
        <w:rPr>
          <w:rFonts w:cs="Arial" w:ascii="Arial" w:hAnsi="Arial"/>
          <w:color w:val="000000"/>
          <w:sz w:val="20"/>
          <w:szCs w:val="20"/>
        </w:rPr>
        <w:t xml:space="preserve"> do dia </w:t>
      </w:r>
      <w:r>
        <w:rPr>
          <w:rFonts w:cs="Arial" w:ascii="Arial" w:hAnsi="Arial"/>
          <w:color w:val="000000"/>
          <w:sz w:val="20"/>
          <w:szCs w:val="20"/>
          <w:shd w:fill="FFFF00" w:val="clear"/>
        </w:rPr>
        <w:t>07/11/2014</w:t>
      </w:r>
      <w:r>
        <w:rPr>
          <w:rFonts w:cs="Arial" w:ascii="Arial" w:hAnsi="Arial"/>
          <w:color w:val="000000"/>
          <w:sz w:val="20"/>
          <w:szCs w:val="20"/>
        </w:rPr>
        <w:t xml:space="preserve">, cuja ata foi lavrada e assinada pelo Pregoeiro Oficial, Equipe de Apoio e Licitantes presentes. </w:t>
      </w:r>
    </w:p>
    <w:p>
      <w:pPr>
        <w:pStyle w:val="Normal"/>
        <w:jc w:val="both"/>
        <w:rPr>
          <w:rFonts w:cs="Arial" w:ascii="Arial" w:hAnsi="Arial"/>
          <w:color w:val="000000"/>
          <w:sz w:val="20"/>
          <w:szCs w:val="20"/>
        </w:rPr>
      </w:pPr>
      <w:r>
        <w:rPr>
          <w:rFonts w:cs="Arial" w:ascii="Arial" w:hAnsi="Arial"/>
          <w:color w:val="000000"/>
          <w:sz w:val="20"/>
          <w:szCs w:val="20"/>
        </w:rPr>
        <w:t> </w:t>
      </w:r>
    </w:p>
    <w:p>
      <w:pPr>
        <w:pStyle w:val="Normal"/>
        <w:jc w:val="center"/>
        <w:rPr/>
      </w:pPr>
      <w:r>
        <w:rPr/>
        <w:t> </w:t>
      </w:r>
    </w:p>
    <w:p>
      <w:pPr>
        <w:pStyle w:val="Normal"/>
        <w:jc w:val="center"/>
        <w:rPr>
          <w:rFonts w:cs="Arial" w:ascii="Arial" w:hAnsi="Arial"/>
          <w:b/>
          <w:bCs/>
          <w:color w:val="000000"/>
          <w:sz w:val="15"/>
          <w:szCs w:val="15"/>
        </w:rPr>
      </w:pPr>
      <w:r>
        <w:rPr>
          <w:rFonts w:cs="Arial" w:ascii="Arial" w:hAnsi="Arial"/>
          <w:b/>
          <w:bCs/>
          <w:color w:val="000000"/>
          <w:sz w:val="15"/>
          <w:szCs w:val="15"/>
        </w:rPr>
        <w:t xml:space="preserve">LICITANTES:                                                                                                                                                                                                                                                                                                   </w:t>
      </w:r>
    </w:p>
    <w:p>
      <w:pPr>
        <w:pStyle w:val="NormalWeb"/>
        <w:rPr>
          <w:sz w:val="15"/>
          <w:szCs w:val="15"/>
        </w:rPr>
      </w:pPr>
      <w:r>
        <w:rPr>
          <w:sz w:val="15"/>
          <w:szCs w:val="15"/>
        </w:rPr>
      </w:r>
    </w:p>
    <w:p>
      <w:pPr>
        <w:pStyle w:val="Normal"/>
        <w:jc w:val="both"/>
        <w:rPr>
          <w:rFonts w:cs="Arial" w:ascii="Arial" w:hAnsi="Arial"/>
          <w:color w:val="000000"/>
        </w:rPr>
      </w:pPr>
      <w:r>
        <w:rPr>
          <w:rFonts w:cs="Arial" w:ascii="Arial" w:hAnsi="Arial"/>
          <w:color w:val="000000"/>
        </w:rPr>
        <w:t> </w:t>
      </w:r>
    </w:p>
    <w:p>
      <w:pPr>
        <w:pStyle w:val="Normal"/>
        <w:spacing w:before="0" w:after="200"/>
        <w:jc w:val="both"/>
        <w:rPr>
          <w:rFonts w:cs="Arial" w:ascii="Arial" w:hAnsi="Arial"/>
          <w:color w:val="000000"/>
        </w:rPr>
      </w:pPr>
      <w:r>
        <w:rPr>
          <w:rFonts w:cs="Arial" w:ascii="Arial" w:hAnsi="Arial"/>
          <w:color w:val="000000"/>
        </w:rPr>
        <w:t> </w:t>
      </w:r>
    </w:p>
    <w:sectPr>
      <w:type w:val="nextPage"/>
      <w:pgSz w:w="11906" w:h="16838"/>
      <w:pgMar w:left="1134" w:right="567" w:header="0" w:top="567" w:footer="0" w:bottom="56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pt-BR"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00000A"/>
      <w:sz w:val="22"/>
      <w:szCs w:val="22"/>
      <w:lang w:val="pt-BR" w:eastAsia="en-US" w:bidi="ar-SA"/>
    </w:rPr>
  </w:style>
  <w:style w:type="character" w:styleId="DefaultParagraphFont" w:default="1">
    <w:name w:val="Default Paragraph Font"/>
    <w:uiPriority w:val="1"/>
    <w:semiHidden/>
    <w:unhideWhenUsed/>
    <w:rPr/>
  </w:style>
  <w:style w:type="character" w:styleId="PartesuperiorzdoformulrioChar" w:customStyle="1">
    <w:name w:val="Parte superior-z do formulário Char"/>
    <w:uiPriority w:val="99"/>
    <w:semiHidden/>
    <w:link w:val="Partesuperior-zdoformulrio"/>
    <w:rsid w:val="00760cf9"/>
    <w:basedOn w:val="DefaultParagraphFont"/>
    <w:rPr>
      <w:rFonts w:ascii="Arial" w:hAnsi="Arial" w:eastAsia="Times New Roman" w:cs="Arial"/>
      <w:vanish/>
      <w:sz w:val="16"/>
      <w:szCs w:val="16"/>
      <w:lang w:eastAsia="pt-BR"/>
    </w:rPr>
  </w:style>
  <w:style w:type="character" w:styleId="Strong">
    <w:name w:val="Strong"/>
    <w:uiPriority w:val="22"/>
    <w:qFormat/>
    <w:rsid w:val="00760cf9"/>
    <w:basedOn w:val="DefaultParagraphFont"/>
    <w:rPr>
      <w:b/>
      <w:bCs/>
    </w:rPr>
  </w:style>
  <w:style w:type="character" w:styleId="ParteinferiordoformulrioChar" w:customStyle="1">
    <w:name w:val="Parte inferior do formulário Char"/>
    <w:uiPriority w:val="99"/>
    <w:semiHidden/>
    <w:link w:val="Parteinferiordoformulrio"/>
    <w:rsid w:val="00760cf9"/>
    <w:basedOn w:val="DefaultParagraphFont"/>
    <w:rPr>
      <w:rFonts w:ascii="Arial" w:hAnsi="Arial" w:eastAsia="Times New Roman" w:cs="Arial"/>
      <w:vanish/>
      <w:sz w:val="16"/>
      <w:szCs w:val="16"/>
      <w:lang w:eastAsia="pt-BR"/>
    </w:rPr>
  </w:style>
  <w:style w:type="character" w:styleId="TextodebaloChar" w:customStyle="1">
    <w:name w:val="Texto de balão Char"/>
    <w:uiPriority w:val="99"/>
    <w:semiHidden/>
    <w:link w:val="Textodebalo"/>
    <w:rsid w:val="00760cf9"/>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TMLTopofForm">
    <w:name w:val="HTML Top of Form"/>
    <w:uiPriority w:val="99"/>
    <w:semiHidden/>
    <w:unhideWhenUsed/>
    <w:link w:val="Partesuperior-zdoformulrioChar"/>
    <w:rsid w:val="00760cf9"/>
    <w:basedOn w:val="Normal"/>
    <w:next w:val="Normal"/>
    <w:pPr>
      <w:pBdr>
        <w:top w:val="nil"/>
        <w:left w:val="nil"/>
        <w:bottom w:val="single" w:sz="6" w:space="1" w:color="00000A"/>
        <w:right w:val="nil"/>
      </w:pBdr>
      <w:spacing w:lineRule="auto" w:line="240" w:before="0" w:after="0"/>
      <w:jc w:val="center"/>
    </w:pPr>
    <w:rPr>
      <w:rFonts w:ascii="Arial" w:hAnsi="Arial" w:eastAsia="Times New Roman" w:cs="Arial"/>
      <w:vanish/>
      <w:sz w:val="16"/>
      <w:szCs w:val="16"/>
      <w:lang w:eastAsia="pt-BR"/>
    </w:rPr>
  </w:style>
  <w:style w:type="paragraph" w:styleId="NormalWeb">
    <w:name w:val="Normal (Web)"/>
    <w:uiPriority w:val="99"/>
    <w:semiHidden/>
    <w:unhideWhenUsed/>
    <w:rsid w:val="00760cf9"/>
    <w:basedOn w:val="Normal"/>
    <w:pPr>
      <w:spacing w:before="0" w:after="280"/>
    </w:pPr>
    <w:rPr>
      <w:rFonts w:ascii="Times New Roman" w:hAnsi="Times New Roman" w:eastAsia="Times New Roman" w:cs="Times New Roman"/>
      <w:sz w:val="24"/>
      <w:szCs w:val="24"/>
      <w:lang w:eastAsia="pt-BR"/>
    </w:rPr>
  </w:style>
  <w:style w:type="paragraph" w:styleId="HTMLBottomofForm">
    <w:name w:val="HTML Bottom of Form"/>
    <w:uiPriority w:val="99"/>
    <w:semiHidden/>
    <w:unhideWhenUsed/>
    <w:link w:val="ParteinferiordoformulrioChar"/>
    <w:rsid w:val="00760cf9"/>
    <w:basedOn w:val="Normal"/>
    <w:next w:val="Normal"/>
    <w:pPr>
      <w:pBdr>
        <w:top w:val="single" w:sz="6" w:space="1" w:color="00000A"/>
        <w:left w:val="nil"/>
        <w:bottom w:val="nil"/>
        <w:right w:val="nil"/>
      </w:pBdr>
      <w:spacing w:lineRule="auto" w:line="240" w:before="0" w:after="0"/>
      <w:jc w:val="center"/>
    </w:pPr>
    <w:rPr>
      <w:rFonts w:ascii="Arial" w:hAnsi="Arial" w:eastAsia="Times New Roman" w:cs="Arial"/>
      <w:vanish/>
      <w:sz w:val="16"/>
      <w:szCs w:val="16"/>
      <w:lang w:eastAsia="pt-BR"/>
    </w:rPr>
  </w:style>
  <w:style w:type="paragraph" w:styleId="BalloonText">
    <w:name w:val="Balloon Text"/>
    <w:uiPriority w:val="99"/>
    <w:semiHidden/>
    <w:unhideWhenUsed/>
    <w:link w:val="TextodebaloChar"/>
    <w:rsid w:val="00760cf9"/>
    <w:basedOn w:val="Normal"/>
    <w:pPr>
      <w:spacing w:lineRule="auto" w:line="240" w:before="0" w:after="0"/>
    </w:pPr>
    <w:rPr>
      <w:rFonts w:ascii="Tahoma" w:hAnsi="Tahoma" w:cs="Tahoma"/>
      <w:sz w:val="16"/>
      <w:szCs w:val="16"/>
    </w:rPr>
  </w:style>
  <w:style w:type="paragraph" w:styleId="TableContents">
    <w:name w:val="Table Contents"/>
    <w:basedOn w:val="Normal"/>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jpe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ontrol" Target="activeX/activeX1.xml"/><Relationship Id="rId9" Type="http://schemas.openxmlformats.org/officeDocument/2006/relationships/control" Target="activeX/activeX2.xml"/>
</Relationships>
</file>

<file path=word/activeX/_rels/activeX1.xml.rels><?xml version="1.0" encoding="UTF-8"?>
<Relationships xmlns="http://schemas.openxmlformats.org/package/2006/relationships"><Relationship Id="rId1" Type="http://schemas.microsoft.com/office/2006/relationships/activeXControlBinary" Target="activeX1.bin"/>
</Relationships>
</file>

<file path=word/activeX/_rels/activeX2.xml.rels><?xml version="1.0" encoding="UTF-8"?>
<Relationships xmlns="http://schemas.openxmlformats.org/package/2006/relationships"><Relationship Id="rId1" Type="http://schemas.microsoft.com/office/2006/relationships/activeXControlBinary" Target="activeX2.bin"/>
</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2014-11-12T14:15:00Z</dcterms:created>
  <dc:creator>CPL_Sandra</dc:creator>
  <dc:language>pt-BR</dc:language>
  <cp:lastModifiedBy>CPL_Sandra</cp:lastModifiedBy>
  <dcterms:modified xsi:type="dcterms:W3CDTF">2014-11-12T14:16:00Z</dcterms:modified>
  <cp:revision>1</cp:revision>
</cp:coreProperties>
</file>