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83F2" w14:textId="77777777" w:rsidR="001A0FDF" w:rsidRPr="001A0FDF" w:rsidRDefault="001A0FDF" w:rsidP="001A0FDF">
      <w:r w:rsidRPr="001A0FDF">
        <w:t xml:space="preserve">A presente pesquisa adotou uma abordagem prática para acesso, exploração e extração de dados industriais, por meio da utilização de dois sistemas distintos de gerenciamento de bancos de dados: um banco relacional associado ao sistema Enterprise </w:t>
      </w:r>
      <w:proofErr w:type="spellStart"/>
      <w:r w:rsidRPr="001A0FDF">
        <w:t>Resource</w:t>
      </w:r>
      <w:proofErr w:type="spellEnd"/>
      <w:r w:rsidRPr="001A0FDF">
        <w:t xml:space="preserve"> Planning (ERP) e um banco não relacional vinculado ao sistema Manufacturing </w:t>
      </w:r>
      <w:proofErr w:type="spellStart"/>
      <w:r w:rsidRPr="001A0FDF">
        <w:t>Execution</w:t>
      </w:r>
      <w:proofErr w:type="spellEnd"/>
      <w:r w:rsidRPr="001A0FDF">
        <w:t xml:space="preserve"> System (MES). Tal abordagem permitiu não apenas a manipulação de dados, mas também a análise comparativa entre diferentes paradigmas de modelagem e armazenamento de informações.</w:t>
      </w:r>
    </w:p>
    <w:p w14:paraId="0EA8CBD6" w14:textId="77777777" w:rsidR="001A0FDF" w:rsidRPr="001A0FDF" w:rsidRDefault="001A0FDF" w:rsidP="001A0FDF">
      <w:r w:rsidRPr="001A0FDF">
        <w:t>O acesso ao banco de dados relacional foi realizado utilizando o Sistema Gerenciador de Banco de Dados PostgreSQL, amplamente reconhecido por sua robustez, confiabilidade e aderência aos padrões SQL. Nesse modelo, os dados encontram-se organizados em estruturas tabulares, compostas por linhas (registros) e colunas (atributos), permitindo o estabelecimento de relações entre entidades e garantindo integridade referencial. Esse tipo de estrutura é particularmente relevante em contextos organizacionais que demandam consistência, rastreabilidade e padronização de dados, características essenciais em sistemas ERP.</w:t>
      </w:r>
    </w:p>
    <w:p w14:paraId="7CA07A06" w14:textId="77777777" w:rsidR="001A0FDF" w:rsidRPr="001A0FDF" w:rsidRDefault="001A0FDF" w:rsidP="001A0FDF">
      <w:r w:rsidRPr="001A0FDF">
        <w:t xml:space="preserve">Para a interação com o banco PostgreSQL, foi empregada a ferramenta </w:t>
      </w:r>
      <w:proofErr w:type="spellStart"/>
      <w:r w:rsidRPr="001A0FDF">
        <w:t>DBeaver</w:t>
      </w:r>
      <w:proofErr w:type="spellEnd"/>
      <w:r w:rsidRPr="001A0FDF">
        <w:t xml:space="preserve">, um ambiente integrado de gerenciamento de bancos de dados que possibilita a conexão com sistemas remotos por meio de parâmetros como endereço do servidor (host), porta de comunicação, nome da base de dados e credenciais de autenticação. A interface gráfica da ferramenta facilita a navegação pelas estruturas internas do banco, incluindo </w:t>
      </w:r>
      <w:proofErr w:type="spellStart"/>
      <w:r w:rsidRPr="001A0FDF">
        <w:t>schemas</w:t>
      </w:r>
      <w:proofErr w:type="spellEnd"/>
      <w:r w:rsidRPr="001A0FDF">
        <w:t>, tabelas, visões (</w:t>
      </w:r>
      <w:proofErr w:type="spellStart"/>
      <w:r w:rsidRPr="001A0FDF">
        <w:t>views</w:t>
      </w:r>
      <w:proofErr w:type="spellEnd"/>
      <w:r w:rsidRPr="001A0FDF">
        <w:t>) e demais objetos.</w:t>
      </w:r>
    </w:p>
    <w:p w14:paraId="33763B9B" w14:textId="77777777" w:rsidR="001A0FDF" w:rsidRPr="001A0FDF" w:rsidRDefault="001A0FDF" w:rsidP="001A0FDF">
      <w:r w:rsidRPr="001A0FDF">
        <w:t xml:space="preserve">Durante o processo de exploração, identificou-se que os dados estavam organizados no </w:t>
      </w:r>
      <w:proofErr w:type="spellStart"/>
      <w:r w:rsidRPr="001A0FDF">
        <w:t>schema</w:t>
      </w:r>
      <w:proofErr w:type="spellEnd"/>
      <w:r w:rsidRPr="001A0FDF">
        <w:t xml:space="preserve"> denominado “</w:t>
      </w:r>
      <w:proofErr w:type="spellStart"/>
      <w:r w:rsidRPr="001A0FDF">
        <w:t>erp</w:t>
      </w:r>
      <w:proofErr w:type="spellEnd"/>
      <w:r w:rsidRPr="001A0FDF">
        <w:t>”, o que exigiu a correta navegação hierárquica dentro do banco para acesso às tabelas. A partir disso, foram realizadas consultas utilizando a linguagem SQL, com destaque para comandos do tipo SELECT, os quais permitiram a extração, filtragem e organização dos dados conforme critérios específicos. Essa etapa foi fundamental para a compreensão da estrutura dos dados e para a obtenção de informações relevantes ao estudo.</w:t>
      </w:r>
    </w:p>
    <w:p w14:paraId="59D973DC" w14:textId="77777777" w:rsidR="001A0FDF" w:rsidRPr="001A0FDF" w:rsidRDefault="001A0FDF" w:rsidP="001A0FDF">
      <w:r w:rsidRPr="001A0FDF">
        <w:t xml:space="preserve">Adicionalmente, foi realizada a exportação dos dados utilizando as funcionalidades nativas do </w:t>
      </w:r>
      <w:proofErr w:type="spellStart"/>
      <w:r w:rsidRPr="001A0FDF">
        <w:t>DBeaver</w:t>
      </w:r>
      <w:proofErr w:type="spellEnd"/>
      <w:r w:rsidRPr="001A0FDF">
        <w:t>, permitindo a conversão das informações para diferentes formatos, como CSV, XLSX, JSON e scripts SQL. Essa etapa representa uma prática importante no contexto da Engenharia de Produção, uma vez que viabiliza a integração dos dados com outras ferramentas analíticas e de apoio à decisão, como planilhas eletrônicas e softwares estatísticos.</w:t>
      </w:r>
    </w:p>
    <w:p w14:paraId="063EB4DD" w14:textId="77777777" w:rsidR="001A0FDF" w:rsidRPr="001A0FDF" w:rsidRDefault="001A0FDF" w:rsidP="001A0FDF">
      <w:r w:rsidRPr="001A0FDF">
        <w:t xml:space="preserve">Paralelamente, foi conduzido o acesso ao banco de dados não relacional, implementado com base na tecnologia </w:t>
      </w:r>
      <w:proofErr w:type="spellStart"/>
      <w:r w:rsidRPr="001A0FDF">
        <w:t>MongoDB</w:t>
      </w:r>
      <w:proofErr w:type="spellEnd"/>
      <w:r w:rsidRPr="001A0FDF">
        <w:t xml:space="preserve"> e associado ao sistema MES. Diferentemente dos bancos relacionais, o </w:t>
      </w:r>
      <w:proofErr w:type="spellStart"/>
      <w:r w:rsidRPr="001A0FDF">
        <w:t>MongoDB</w:t>
      </w:r>
      <w:proofErr w:type="spellEnd"/>
      <w:r w:rsidRPr="001A0FDF">
        <w:t xml:space="preserve"> adota um modelo orientado a </w:t>
      </w:r>
      <w:r w:rsidRPr="001A0FDF">
        <w:lastRenderedPageBreak/>
        <w:t>documentos, no qual os dados são armazenados em formatos flexíveis, tipicamente JSON (</w:t>
      </w:r>
      <w:proofErr w:type="spellStart"/>
      <w:r w:rsidRPr="001A0FDF">
        <w:t>JavaScript</w:t>
      </w:r>
      <w:proofErr w:type="spellEnd"/>
      <w:r w:rsidRPr="001A0FDF">
        <w:t xml:space="preserve"> </w:t>
      </w:r>
      <w:proofErr w:type="spellStart"/>
      <w:r w:rsidRPr="001A0FDF">
        <w:t>Object</w:t>
      </w:r>
      <w:proofErr w:type="spellEnd"/>
      <w:r w:rsidRPr="001A0FDF">
        <w:t xml:space="preserve"> </w:t>
      </w:r>
      <w:proofErr w:type="spellStart"/>
      <w:r w:rsidRPr="001A0FDF">
        <w:t>Notation</w:t>
      </w:r>
      <w:proofErr w:type="spellEnd"/>
      <w:r w:rsidRPr="001A0FDF">
        <w:t>). Nesse contexto, os dados são organizados em coleções compostas por documentos, eliminando a necessidade de esquemas rígidos e permitindo maior flexibilidade na estrutura das informações.</w:t>
      </w:r>
    </w:p>
    <w:p w14:paraId="2EAD3204" w14:textId="77777777" w:rsidR="001A0FDF" w:rsidRPr="001A0FDF" w:rsidRDefault="001A0FDF" w:rsidP="001A0FDF">
      <w:r w:rsidRPr="001A0FDF">
        <w:t xml:space="preserve">Essa característica torna os bancos </w:t>
      </w:r>
      <w:proofErr w:type="spellStart"/>
      <w:r w:rsidRPr="001A0FDF">
        <w:t>NoSQL</w:t>
      </w:r>
      <w:proofErr w:type="spellEnd"/>
      <w:r w:rsidRPr="001A0FDF">
        <w:t xml:space="preserve"> especialmente adequados para ambientes industriais dinâmicos, como aqueles monitorados por sistemas MES, nos quais há grande variabilidade e volume de dados provenientes de processos produtivos, sensores e operações em tempo real. A flexibilidade do modelo facilita a adaptação a mudanças estruturais, embora, por outro lado, possa implicar menor padronização e maior complexidade na análise.</w:t>
      </w:r>
    </w:p>
    <w:p w14:paraId="456491FA" w14:textId="77777777" w:rsidR="001A0FDF" w:rsidRPr="001A0FDF" w:rsidRDefault="001A0FDF" w:rsidP="001A0FDF">
      <w:r w:rsidRPr="001A0FDF">
        <w:t xml:space="preserve">O acesso ao banco </w:t>
      </w:r>
      <w:proofErr w:type="spellStart"/>
      <w:r w:rsidRPr="001A0FDF">
        <w:t>MongoDB</w:t>
      </w:r>
      <w:proofErr w:type="spellEnd"/>
      <w:r w:rsidRPr="001A0FDF">
        <w:t xml:space="preserve"> foi realizado por meio da ferramenta </w:t>
      </w:r>
      <w:proofErr w:type="spellStart"/>
      <w:r w:rsidRPr="001A0FDF">
        <w:t>MongoDB</w:t>
      </w:r>
      <w:proofErr w:type="spellEnd"/>
      <w:r w:rsidRPr="001A0FDF">
        <w:t xml:space="preserve"> Compass, interface gráfica oficial que permite a exploração de dados sem a necessidade de programação em linha de comando. A conexão foi estabelecida por meio de uma URI (Uniform </w:t>
      </w:r>
      <w:proofErr w:type="spellStart"/>
      <w:r w:rsidRPr="001A0FDF">
        <w:t>Resource</w:t>
      </w:r>
      <w:proofErr w:type="spellEnd"/>
      <w:r w:rsidRPr="001A0FDF">
        <w:t xml:space="preserve"> </w:t>
      </w:r>
      <w:proofErr w:type="spellStart"/>
      <w:r w:rsidRPr="001A0FDF">
        <w:t>Identifier</w:t>
      </w:r>
      <w:proofErr w:type="spellEnd"/>
      <w:r w:rsidRPr="001A0FDF">
        <w:t>), contendo todas as informações necessárias para autenticação e localização do servidor, incluindo parâmetros adicionais como o banco de autenticação (</w:t>
      </w:r>
      <w:proofErr w:type="spellStart"/>
      <w:r w:rsidRPr="001A0FDF">
        <w:t>authSource</w:t>
      </w:r>
      <w:proofErr w:type="spellEnd"/>
      <w:r w:rsidRPr="001A0FDF">
        <w:t>).</w:t>
      </w:r>
    </w:p>
    <w:p w14:paraId="3E410B72" w14:textId="77777777" w:rsidR="001A0FDF" w:rsidRPr="001A0FDF" w:rsidRDefault="001A0FDF" w:rsidP="001A0FDF">
      <w:r w:rsidRPr="001A0FDF">
        <w:t>Uma vez estabelecida a conexão, foi possível acessar o banco denominado “</w:t>
      </w:r>
      <w:proofErr w:type="spellStart"/>
      <w:r w:rsidRPr="001A0FDF">
        <w:t>mes</w:t>
      </w:r>
      <w:proofErr w:type="spellEnd"/>
      <w:r w:rsidRPr="001A0FDF">
        <w:t>” e explorar suas coleções, visualizando documentos estruturados em formato JSON. A ferramenta também permitiu a aplicação de filtros para consulta de dados específicos, possibilitando análises direcionadas de forma intuitiva.</w:t>
      </w:r>
    </w:p>
    <w:p w14:paraId="6060F645" w14:textId="77777777" w:rsidR="001A0FDF" w:rsidRPr="001A0FDF" w:rsidRDefault="001A0FDF" w:rsidP="001A0FDF">
      <w:r w:rsidRPr="001A0FDF">
        <w:t>A utilização conjunta de bancos de dados relacionais e não relacionais possibilitou uma análise comparativa relevante sob a ótica da Engenharia de Produção. Enquanto o modelo relacional demonstrou maior adequação para estruturas organizacionais estáveis, com necessidade de integridade e consistência dos dados, o modelo não relacional evidenciou maior flexibilidade e escalabilidade, características fundamentais em ambientes produtivos dinâmicos e orientados a dados em tempo real.</w:t>
      </w:r>
    </w:p>
    <w:p w14:paraId="02D49774" w14:textId="77777777" w:rsidR="001A0FDF" w:rsidRDefault="001A0FDF" w:rsidP="001A0FDF">
      <w:r w:rsidRPr="001A0FDF">
        <w:t>Dessa forma, a metodologia adotada não se limitou ao acesso técnico aos dados, mas contribuiu significativamente para a compreensão das implicações gerenciais e operacionais associadas às diferentes tecnologias de armazenamento de dados. Essa análise é particularmente relevante no contexto da Indústria 4.0, no qual a integração e o uso estratégico de dados desempenham papel central na tomada de decisão, otimização de processos e aumento da eficiência produtiva.</w:t>
      </w:r>
    </w:p>
    <w:p w14:paraId="03DB133E" w14:textId="77777777" w:rsidR="00F0657F" w:rsidRDefault="00F0657F" w:rsidP="001A0FDF"/>
    <w:p w14:paraId="27457CFC" w14:textId="77777777" w:rsidR="00F0657F" w:rsidRDefault="00F0657F" w:rsidP="001A0FDF"/>
    <w:p w14:paraId="542D74F3" w14:textId="77777777" w:rsidR="00F0657F" w:rsidRPr="00F0657F" w:rsidRDefault="00F0657F" w:rsidP="00F0657F">
      <w:r w:rsidRPr="00F0657F">
        <w:lastRenderedPageBreak/>
        <w:t xml:space="preserve">DBEAVER. </w:t>
      </w:r>
      <w:proofErr w:type="spellStart"/>
      <w:r w:rsidRPr="00F0657F">
        <w:rPr>
          <w:i/>
          <w:iCs/>
        </w:rPr>
        <w:t>DBeaver</w:t>
      </w:r>
      <w:proofErr w:type="spellEnd"/>
      <w:r w:rsidRPr="00F0657F">
        <w:rPr>
          <w:i/>
          <w:iCs/>
        </w:rPr>
        <w:t xml:space="preserve"> Community </w:t>
      </w:r>
      <w:proofErr w:type="spellStart"/>
      <w:r w:rsidRPr="00F0657F">
        <w:rPr>
          <w:i/>
          <w:iCs/>
        </w:rPr>
        <w:t>Edition</w:t>
      </w:r>
      <w:proofErr w:type="spellEnd"/>
      <w:r w:rsidRPr="00F0657F">
        <w:t>. Disponível em: &lt;https://dbeaver.io/&gt;. Acesso em: 11 jun. 2026.</w:t>
      </w:r>
    </w:p>
    <w:p w14:paraId="6EEC814A" w14:textId="77777777" w:rsidR="00F0657F" w:rsidRPr="00F0657F" w:rsidRDefault="00F0657F" w:rsidP="00F0657F">
      <w:r w:rsidRPr="00F0657F">
        <w:t xml:space="preserve">MONGODB, Inc. </w:t>
      </w:r>
      <w:proofErr w:type="spellStart"/>
      <w:r w:rsidRPr="00F0657F">
        <w:rPr>
          <w:i/>
          <w:iCs/>
        </w:rPr>
        <w:t>MongoDB</w:t>
      </w:r>
      <w:proofErr w:type="spellEnd"/>
      <w:r w:rsidRPr="00F0657F">
        <w:rPr>
          <w:i/>
          <w:iCs/>
        </w:rPr>
        <w:t xml:space="preserve"> Compass</w:t>
      </w:r>
      <w:r w:rsidRPr="00F0657F">
        <w:t>. Disponível em: &lt;https://www.mongodb.com/</w:t>
      </w:r>
      <w:proofErr w:type="spellStart"/>
      <w:r w:rsidRPr="00F0657F">
        <w:t>products</w:t>
      </w:r>
      <w:proofErr w:type="spellEnd"/>
      <w:r w:rsidRPr="00F0657F">
        <w:t>/</w:t>
      </w:r>
      <w:proofErr w:type="spellStart"/>
      <w:r w:rsidRPr="00F0657F">
        <w:t>compass</w:t>
      </w:r>
      <w:proofErr w:type="spellEnd"/>
      <w:r w:rsidRPr="00F0657F">
        <w:t>&gt;. Acesso em: 11 jun. 2026.</w:t>
      </w:r>
    </w:p>
    <w:p w14:paraId="0228ED1F" w14:textId="77777777" w:rsidR="00F0657F" w:rsidRPr="00F0657F" w:rsidRDefault="00F0657F" w:rsidP="00F0657F">
      <w:r w:rsidRPr="00F0657F">
        <w:t xml:space="preserve">MONGODB, Inc. </w:t>
      </w:r>
      <w:proofErr w:type="spellStart"/>
      <w:r w:rsidRPr="00F0657F">
        <w:rPr>
          <w:i/>
          <w:iCs/>
        </w:rPr>
        <w:t>NoSQL</w:t>
      </w:r>
      <w:proofErr w:type="spellEnd"/>
      <w:r w:rsidRPr="00F0657F">
        <w:rPr>
          <w:i/>
          <w:iCs/>
        </w:rPr>
        <w:t xml:space="preserve"> </w:t>
      </w:r>
      <w:proofErr w:type="spellStart"/>
      <w:r w:rsidRPr="00F0657F">
        <w:rPr>
          <w:i/>
          <w:iCs/>
        </w:rPr>
        <w:t>databases</w:t>
      </w:r>
      <w:proofErr w:type="spellEnd"/>
      <w:r w:rsidRPr="00F0657F">
        <w:rPr>
          <w:i/>
          <w:iCs/>
        </w:rPr>
        <w:t xml:space="preserve"> </w:t>
      </w:r>
      <w:proofErr w:type="spellStart"/>
      <w:r w:rsidRPr="00F0657F">
        <w:rPr>
          <w:i/>
          <w:iCs/>
        </w:rPr>
        <w:t>explained</w:t>
      </w:r>
      <w:proofErr w:type="spellEnd"/>
      <w:r w:rsidRPr="00F0657F">
        <w:t>. Disponível em: &lt;https://www.mongodb.com/resources/basics/databases/nosql-explained&gt;. Acesso em: 11 jun. 2026.</w:t>
      </w:r>
    </w:p>
    <w:p w14:paraId="771D6DD7" w14:textId="77777777" w:rsidR="00F0657F" w:rsidRPr="00F0657F" w:rsidRDefault="00F0657F" w:rsidP="00F0657F">
      <w:r w:rsidRPr="00F0657F">
        <w:t xml:space="preserve">POSTGRESQL GLOBAL DEVELOPMENT GROUP. </w:t>
      </w:r>
      <w:r w:rsidRPr="00F0657F">
        <w:rPr>
          <w:i/>
          <w:iCs/>
        </w:rPr>
        <w:t xml:space="preserve">PostgreSQL </w:t>
      </w:r>
      <w:proofErr w:type="spellStart"/>
      <w:r w:rsidRPr="00F0657F">
        <w:rPr>
          <w:i/>
          <w:iCs/>
        </w:rPr>
        <w:t>Documentation</w:t>
      </w:r>
      <w:proofErr w:type="spellEnd"/>
      <w:r w:rsidRPr="00F0657F">
        <w:t>. Disponível em: &lt;https://www.postgresql.org/&gt;. Acesso em: 11 jun. 2026.</w:t>
      </w:r>
    </w:p>
    <w:p w14:paraId="21A87D86" w14:textId="77777777" w:rsidR="00F0657F" w:rsidRPr="001A0FDF" w:rsidRDefault="00F0657F" w:rsidP="001A0FDF"/>
    <w:p w14:paraId="3D086310" w14:textId="77777777" w:rsidR="00441D94" w:rsidRDefault="00441D94"/>
    <w:sectPr w:rsidR="00441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C4"/>
    <w:rsid w:val="001A0FDF"/>
    <w:rsid w:val="00441D94"/>
    <w:rsid w:val="00463603"/>
    <w:rsid w:val="004F68B5"/>
    <w:rsid w:val="005F7C56"/>
    <w:rsid w:val="00CD2CC4"/>
    <w:rsid w:val="00F0657F"/>
    <w:rsid w:val="00F3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52E2"/>
  <w15:chartTrackingRefBased/>
  <w15:docId w15:val="{D8C87D4A-0716-42E9-84A5-EFD639C5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2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C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2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2C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2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2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2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2C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2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2C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Carvalho</dc:creator>
  <cp:keywords/>
  <dc:description/>
  <cp:lastModifiedBy>Luís Carvalho</cp:lastModifiedBy>
  <cp:revision>4</cp:revision>
  <dcterms:created xsi:type="dcterms:W3CDTF">2026-06-13T11:10:00Z</dcterms:created>
  <dcterms:modified xsi:type="dcterms:W3CDTF">2026-06-13T11:12:00Z</dcterms:modified>
</cp:coreProperties>
</file>