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6787" w14:textId="77777777" w:rsidR="00755E68" w:rsidRDefault="00000000">
      <w:pPr>
        <w:spacing w:after="240" w:line="360" w:lineRule="auto"/>
        <w:jc w:val="center"/>
      </w:pPr>
      <w:r>
        <w:rPr>
          <w:b/>
          <w:bCs/>
          <w:sz w:val="28"/>
          <w:szCs w:val="28"/>
        </w:rPr>
        <w:t>PROCEDIMENTO OPERACIONAL PADRÃO PARA EXTRAÇÃO E ANÁLISE DE INDICADORES DE DESEMPENHO COMERCIAL VIA POSTGRESQL E POWER BI: ESTUDO DE CASO NA RURAL DATA (NETTÃO)</w:t>
      </w:r>
    </w:p>
    <w:p w14:paraId="16197E3D" w14:textId="77777777" w:rsidR="00755E68" w:rsidRDefault="00000000">
      <w:pPr>
        <w:spacing w:after="60" w:line="320" w:lineRule="auto"/>
        <w:jc w:val="center"/>
      </w:pPr>
      <w:r>
        <w:t>Any Júlia Ribeiro</w:t>
      </w:r>
    </w:p>
    <w:p w14:paraId="1CC6F7C7" w14:textId="29A5A88A" w:rsidR="00697A8B" w:rsidRDefault="00697A8B">
      <w:pPr>
        <w:spacing w:after="60" w:line="320" w:lineRule="auto"/>
        <w:jc w:val="center"/>
      </w:pPr>
      <w:r>
        <w:t>Natália Paiva de Melo</w:t>
      </w:r>
    </w:p>
    <w:p w14:paraId="6B0C959E" w14:textId="77777777" w:rsidR="00755E68" w:rsidRDefault="00000000">
      <w:pPr>
        <w:spacing w:after="60" w:line="320" w:lineRule="auto"/>
        <w:jc w:val="center"/>
      </w:pPr>
      <w:r>
        <w:t>Faculdade de Ciências e Tecnologia – Câmpus Aparecida de Goiânia (UFG)</w:t>
      </w:r>
    </w:p>
    <w:p w14:paraId="5CD4B5B9" w14:textId="77777777" w:rsidR="00755E68" w:rsidRDefault="00000000">
      <w:pPr>
        <w:spacing w:after="60" w:line="320" w:lineRule="auto"/>
        <w:jc w:val="center"/>
      </w:pPr>
      <w:r>
        <w:t>Engenharia de Produção</w:t>
      </w:r>
    </w:p>
    <w:p w14:paraId="674C66A0" w14:textId="77777777" w:rsidR="00755E68" w:rsidRDefault="00000000">
      <w:pPr>
        <w:spacing w:after="320" w:line="320" w:lineRule="auto"/>
        <w:jc w:val="center"/>
      </w:pPr>
      <w:r>
        <w:t>Prof. Dayvid W. P. Martins</w:t>
      </w:r>
    </w:p>
    <w:p w14:paraId="790A01F5" w14:textId="77777777" w:rsidR="00755E68" w:rsidRDefault="00000000">
      <w:pPr>
        <w:spacing w:after="180" w:line="320" w:lineRule="auto"/>
      </w:pPr>
      <w:r>
        <w:rPr>
          <w:b/>
          <w:bCs/>
        </w:rPr>
        <w:t>Resumo</w:t>
      </w:r>
    </w:p>
    <w:p w14:paraId="0FF9FB2F" w14:textId="2AFE043B" w:rsidR="00755E68" w:rsidRDefault="00000000">
      <w:pPr>
        <w:spacing w:after="180" w:line="320" w:lineRule="auto"/>
        <w:jc w:val="both"/>
      </w:pPr>
      <w:r>
        <w:t>Este artigo apresenta um Procedimento Operacional Padrão (POP) para extração, tratamento e análise de indicadores de desempenho comercial e operacional a partir de um banco de dados relacional PostgreSQL hospedado na plataforma Supabase</w:t>
      </w:r>
      <w:r w:rsidR="00697A8B">
        <w:t>. Essa</w:t>
      </w:r>
      <w:r>
        <w:t xml:space="preserve"> aplicação </w:t>
      </w:r>
      <w:r w:rsidR="00697A8B">
        <w:t xml:space="preserve">foi feita </w:t>
      </w:r>
      <w:r>
        <w:t>na Rural Data, empresa brasileira de tecnologia para o agronegócio responsável pelo desenvolvimento d</w:t>
      </w:r>
      <w:r w:rsidR="00697A8B">
        <w:t xml:space="preserve">a inteligência artificial “Seu </w:t>
      </w:r>
      <w:r>
        <w:t>Nettão</w:t>
      </w:r>
      <w:r w:rsidR="00697A8B">
        <w:t>”</w:t>
      </w:r>
      <w:r>
        <w:t xml:space="preserve"> </w:t>
      </w:r>
      <w:r w:rsidR="00697A8B">
        <w:t>ajudando na</w:t>
      </w:r>
      <w:r>
        <w:t xml:space="preserve"> gestão rural via WhatsApp. O trabalho integra fundamentos de Sistemas de Informação Gerencial (SIG), bancos de dados relacionais, modelagem dimensional e Business Intelligence (BI) para embasar o procedimento de conexão direta ao banco, modelagem das relações entre tabelas de faturamento, assinaturas, logs de eventos, fazendas, metas e calendário, e construção de indicadores estratégicos. A análise é conduzida no Power BI, com tratamento de dados via Power Query e definição de medidas analíticas em DAX. A metodologia proposta documenta o ciclo completo de transformação da informação, desde a definição do escopo das tabelas relevantes até a publicação de um dashboard interativo de acompanhamento de metas comerciais, viabilizando o monitoramento contínuo do desempenho da empresa frente aos objetivos estabelecidos.</w:t>
      </w:r>
    </w:p>
    <w:p w14:paraId="0425F233" w14:textId="77777777" w:rsidR="00755E68" w:rsidRDefault="00000000">
      <w:pPr>
        <w:spacing w:after="360" w:line="320" w:lineRule="auto"/>
        <w:jc w:val="both"/>
      </w:pPr>
      <w:r>
        <w:rPr>
          <w:b/>
          <w:bCs/>
        </w:rPr>
        <w:t xml:space="preserve">Palavras-chave: </w:t>
      </w:r>
      <w:r>
        <w:t>PostgreSQL; Supabase; Power BI; Business Intelligence; Banco de Dados Relacional; Indicadores de Desempenho; Engenharia de Produção.</w:t>
      </w:r>
    </w:p>
    <w:p w14:paraId="3EC943E0" w14:textId="77777777" w:rsidR="00755E68" w:rsidRDefault="00000000">
      <w:pPr>
        <w:spacing w:before="360" w:after="240" w:line="360" w:lineRule="auto"/>
      </w:pPr>
      <w:r>
        <w:rPr>
          <w:b/>
          <w:bCs/>
        </w:rPr>
        <w:t>1. INTRODUÇÃO</w:t>
      </w:r>
    </w:p>
    <w:p w14:paraId="4A3DCECD" w14:textId="77777777" w:rsidR="00755E68" w:rsidRDefault="00000000">
      <w:pPr>
        <w:spacing w:after="120" w:line="360" w:lineRule="auto"/>
        <w:ind w:firstLine="720"/>
        <w:jc w:val="both"/>
      </w:pPr>
      <w:r>
        <w:t xml:space="preserve">O avanço da Indústria 4.0 tem intensificado a demanda por profissionais capazes de acessar, tratar e interpretar dados operacionais de forma autônoma. No contexto das empresas de tecnologia voltadas ao agronegócio brasileiro — segmento que vem incorporando aceleradamente ferramentas digitais à rotina de produtores rurais — a capacidade analítica do </w:t>
      </w:r>
      <w:r>
        <w:lastRenderedPageBreak/>
        <w:t>engenheiro de produção representa diferencial competitivo relevante, sobretudo em modelos de negócio baseados em receita recorrente, nos quais a leitura contínua de indicadores de desempenho condiciona a saúde financeira da operação (LAUDON; LAUDON, 2021).</w:t>
      </w:r>
    </w:p>
    <w:p w14:paraId="403373ED" w14:textId="444F5642" w:rsidR="00755E68" w:rsidRDefault="00000000">
      <w:pPr>
        <w:spacing w:after="120" w:line="360" w:lineRule="auto"/>
        <w:ind w:firstLine="720"/>
        <w:jc w:val="both"/>
      </w:pPr>
      <w:r>
        <w:t>A Rural Data, empresa goianiense fundada para atender produtores rurais por meio do canal WhatsApp, desenvolve o sistema</w:t>
      </w:r>
      <w:r w:rsidR="00697A8B">
        <w:t xml:space="preserve"> “Seu</w:t>
      </w:r>
      <w:r>
        <w:t xml:space="preserve"> Nettão</w:t>
      </w:r>
      <w:r w:rsidR="00697A8B">
        <w:t>”</w:t>
      </w:r>
      <w:r>
        <w:t xml:space="preserve">, plataforma de gestão de fazendas voltada principalmente para a pecuária de </w:t>
      </w:r>
      <w:r w:rsidR="00697A8B">
        <w:t>recria e enogrda bovina</w:t>
      </w:r>
      <w:r>
        <w:t>. Toda a base transacional da Rural Data — registros de faturamento, assinaturas ativas, eventos de ciclo de vida dos clientes, cadastro de fazendas vinculadas ao sistema e metas mensais estabelecidas pela gestão — é armazenada em um banco de dados relacional PostgreSQL hospedado na plataforma Supabase, solução de Backend-as-a-Service (BaaS) que provê interface administrativa, autenticação e API sobre uma instância PostgreSQL completa</w:t>
      </w:r>
      <w:r w:rsidR="00697A8B">
        <w:t>.</w:t>
      </w:r>
    </w:p>
    <w:p w14:paraId="10F322B1" w14:textId="77777777" w:rsidR="00755E68" w:rsidRDefault="00000000">
      <w:pPr>
        <w:spacing w:after="120" w:line="360" w:lineRule="auto"/>
        <w:ind w:firstLine="720"/>
        <w:jc w:val="both"/>
      </w:pPr>
      <w:r>
        <w:t>Na prática das organizações, a simples existência dos dados em banco não garante sua utilização estratégica. Sem um procedimento padronizado de extração, modelagem e visualização, as informações permanecem dispersas em tabelas operacionais, dificultando a análise consolidada de indicadores relevantes como faturamento, ticket médio, receita recorrente mensal (MRR), churn, evolução da base ativa de clientes e cumprimento das metas comerciais (O'BRIEN; MARAKAS, 2013). Esse gargalo analítico é particularmente sensível em empresas em estágio de crescimento, nas quais a velocidade de leitura dos indicadores impacta diretamente a tomada de decisão sobre alocação de recursos comerciais e de produto.</w:t>
      </w:r>
    </w:p>
    <w:p w14:paraId="5A86A0BD" w14:textId="77777777" w:rsidR="00755E68" w:rsidRDefault="00000000">
      <w:pPr>
        <w:spacing w:after="120" w:line="360" w:lineRule="auto"/>
        <w:ind w:firstLine="720"/>
        <w:jc w:val="both"/>
      </w:pPr>
      <w:r>
        <w:t>Nesse contexto, o presente trabalho tem como objetivo elaborar um Procedimento Operacional Padrão (POP) para extração, tratamento e análise de indicadores de desempenho comercial e operacional da Rural Data, a partir da conexão direta entre o banco PostgreSQL hospedado no Supabase e a ferramenta de Business Intelligence Microsoft Power BI. O POP documenta o ciclo completo desde a identificação das tabelas-fonte e a definição do modelo relacional até a publicação de um dashboard interativo de acompanhamento de metas, demonstrando, na prática, o ciclo dado → informação → conhecimento → decisão proposto por Davenport e Prusak (1998).</w:t>
      </w:r>
    </w:p>
    <w:p w14:paraId="79D15497" w14:textId="77777777" w:rsidR="00755E68" w:rsidRDefault="00000000">
      <w:pPr>
        <w:spacing w:before="360" w:after="240" w:line="360" w:lineRule="auto"/>
      </w:pPr>
      <w:r>
        <w:rPr>
          <w:b/>
          <w:bCs/>
        </w:rPr>
        <w:t>2. FUNDAMENTAÇÃO TEÓRICA</w:t>
      </w:r>
    </w:p>
    <w:p w14:paraId="6EA70E34" w14:textId="77777777" w:rsidR="00755E68" w:rsidRDefault="00000000">
      <w:pPr>
        <w:spacing w:before="240" w:after="180" w:line="360" w:lineRule="auto"/>
      </w:pPr>
      <w:r>
        <w:rPr>
          <w:b/>
          <w:bCs/>
        </w:rPr>
        <w:t>2.1 Sistemas de Informação Gerencial e o Ciclo Dado–Informação–Conhecimento</w:t>
      </w:r>
    </w:p>
    <w:p w14:paraId="19D8C9B8" w14:textId="77777777" w:rsidR="00755E68" w:rsidRDefault="00000000">
      <w:pPr>
        <w:spacing w:after="120" w:line="360" w:lineRule="auto"/>
        <w:ind w:firstLine="720"/>
        <w:jc w:val="both"/>
      </w:pPr>
      <w:r>
        <w:t xml:space="preserve">Um Sistema de Informação Gerencial (SIG) é definido como o conjunto integrado de pessoas, processos e tecnologias que coletam, processam, armazenam e distribuem </w:t>
      </w:r>
      <w:r>
        <w:lastRenderedPageBreak/>
        <w:t>informações para apoiar a tomada de decisão nas organizações (LAUDON; LAUDON, 2021). Sua dimensão sociotécnica evidencia que a implementação eficaz de um SIG não depende apenas da tecnologia disponível, mas também da capacidade das pessoas em interpretar e agir sobre os dados.</w:t>
      </w:r>
    </w:p>
    <w:p w14:paraId="2CBF4FD1" w14:textId="77777777" w:rsidR="00755E68" w:rsidRDefault="00000000">
      <w:pPr>
        <w:spacing w:after="120" w:line="360" w:lineRule="auto"/>
        <w:ind w:firstLine="720"/>
        <w:jc w:val="both"/>
      </w:pPr>
      <w:r>
        <w:t>O ciclo Dado → Informação → Conhecimento é o eixo central que justifica o POP proposto. Um dado bruto como "R$ 84.500 de faturamento em outubro" torna-se informação ao ser contextualizado — "o mês representa 92% da meta orçada para o período" — e evolui para conhecimento quando orienta uma decisão: "intensificar campanhas de retenção no segmento suinocultura para fechar o trimestre dentro da meta" (DAVENPORT; PRUSAK, 1998). O banco de dados PostgreSQL, nesse ciclo, é o repositório dos dados; o Power BI é o instrumento de transformação; e o POP é o procedimento que articula ambos em rotina reprodutível.</w:t>
      </w:r>
    </w:p>
    <w:p w14:paraId="4265D2B4" w14:textId="77777777" w:rsidR="00755E68" w:rsidRDefault="00000000">
      <w:pPr>
        <w:spacing w:after="120" w:line="360" w:lineRule="auto"/>
        <w:ind w:firstLine="720"/>
        <w:jc w:val="both"/>
      </w:pPr>
      <w:r>
        <w:t>Os SIGs atendem a diferentes níveis de decisão. No nível operacional, o banco PostgreSQL da Rural Data registra cada cobrança gerada, cada nova assinatura, cada evento de churn e cada cadastro de fazenda. No nível tático, relatórios mensais consolidam indicadores por produto, plano e região. No nível estratégico, análises de tendência e comparativos contra metas anuais orientam o planejamento comercial e o roadmap de produto. O presente POP atua principalmente no nível tático, transformando dados operacionais em indicadores mensais de acompanhamento.</w:t>
      </w:r>
    </w:p>
    <w:p w14:paraId="57510BB2" w14:textId="77777777" w:rsidR="00755E68" w:rsidRDefault="00000000">
      <w:pPr>
        <w:spacing w:before="240" w:after="180" w:line="360" w:lineRule="auto"/>
      </w:pPr>
      <w:r>
        <w:rPr>
          <w:b/>
          <w:bCs/>
        </w:rPr>
        <w:t>2.2 Histórico e Evolução dos Bancos de Dados</w:t>
      </w:r>
    </w:p>
    <w:p w14:paraId="5B3A905E" w14:textId="77777777" w:rsidR="00755E68" w:rsidRDefault="00000000">
      <w:pPr>
        <w:spacing w:after="120" w:line="360" w:lineRule="auto"/>
        <w:ind w:firstLine="720"/>
        <w:jc w:val="both"/>
      </w:pPr>
      <w:r>
        <w:t>A evolução dos bancos de dados é fundamental para compreender as decisões arquiteturais que sustentam soluções modernas como o Supabase. Na década de 1960, dados eram armazenados em arquivos sequenciais e em sistemas hierárquicos como o IMS da IBM, com acesso rígido e pouca flexibilidade (DATE, 2004). Em 1970, Edgar F. Codd propôs o modelo relacional — organização em tabelas com chaves primárias e linguagem SQL —, revolucionando a área e dando origem aos Sistemas de Gerenciamento de Banco de Dados (SGBDs) modernos como Oracle, MySQL e o próprio PostgreSQL (CODD, 1970).</w:t>
      </w:r>
    </w:p>
    <w:p w14:paraId="70C144C8" w14:textId="77777777" w:rsidR="00755E68" w:rsidRDefault="00000000">
      <w:pPr>
        <w:spacing w:after="120" w:line="360" w:lineRule="auto"/>
        <w:ind w:firstLine="720"/>
        <w:jc w:val="both"/>
      </w:pPr>
      <w:r>
        <w:t xml:space="preserve">O PostgreSQL, lançado em 1996 e mantido pela comunidade global PostgreSQL Global Development Group, consolidou-se como um dos SGBDs relacionais de código aberto mais robustos disponíveis, oferecendo conformidade ACID, suporte a tipos de dados complexos (JSON, arrays, tipos geográficos via PostGIS), extensões para replicação e particionamento, e ampla aderência ao padrão SQL (POSTGRESQL GLOBAL </w:t>
      </w:r>
      <w:r>
        <w:lastRenderedPageBreak/>
        <w:t>DEVELOPMENT GROUP, 2024). Sua adoção em empresas de tecnologia é favorecida pela combinação entre maturidade técnica, ausência de custos de licenciamento e ecossistema de ferramentas de integração.</w:t>
      </w:r>
    </w:p>
    <w:p w14:paraId="4178964E" w14:textId="77777777" w:rsidR="00755E68" w:rsidRDefault="00000000">
      <w:pPr>
        <w:spacing w:after="120" w:line="360" w:lineRule="auto"/>
        <w:ind w:firstLine="720"/>
        <w:jc w:val="both"/>
      </w:pPr>
      <w:r>
        <w:t>Nos anos 2000, o crescimento de dados não estruturados impulsionou o movimento NoSQL (MongoDB, Cassandra, Redis), capaz de escalar horizontalmente e lidar com volumes e variedades que bancos relacionais não comportavam eficientemente (FOWLER; SADALAGE, 2013). A partir dos anos 2010, emergiu o conceito de polyglot persistence: utilizar o banco mais adequado para cada problema. Apesar dessa diversificação, o modelo relacional permanece como espinha dorsal das aplicações transacionais — incluindo o backend da Rural Data —, em razão da consistência forte e da expressividade da linguagem SQL para consultas analíticas.</w:t>
      </w:r>
    </w:p>
    <w:p w14:paraId="4A2B0CAC" w14:textId="77777777" w:rsidR="00755E68" w:rsidRDefault="00000000">
      <w:pPr>
        <w:spacing w:before="240" w:after="180" w:line="360" w:lineRule="auto"/>
      </w:pPr>
      <w:r>
        <w:rPr>
          <w:b/>
          <w:bCs/>
        </w:rPr>
        <w:t>2.3 PostgreSQL e Supabase como Plataforma Backend-as-a-Service</w:t>
      </w:r>
    </w:p>
    <w:p w14:paraId="7091F042" w14:textId="77777777" w:rsidR="00755E68" w:rsidRDefault="00000000">
      <w:pPr>
        <w:spacing w:after="120" w:line="360" w:lineRule="auto"/>
        <w:ind w:firstLine="720"/>
        <w:jc w:val="both"/>
      </w:pPr>
      <w:r>
        <w:t>O Supabase é uma plataforma de Backend-as-a-Service (BaaS) construída diretamente sobre o PostgreSQL, oferecendo, em uma mesma camada, banco de dados relacional gerenciado, autenticação de usuários, armazenamento de arquivos, funções serverless e APIs REST e GraphQL geradas automaticamente a partir do esquema das tabelas (SUPABASE, 2024). Diferentemente de plataformas BaaS proprietárias que abstraem o modelo de dados em camadas opacas, o Supabase preserva o acesso direto ao PostgreSQL subjacente — o que significa que qualquer ferramenta capaz de se conectar a uma instância PostgreSQL padrão pode consumir os dados sem intermediação.</w:t>
      </w:r>
    </w:p>
    <w:p w14:paraId="29BB02A6" w14:textId="77777777" w:rsidR="00755E68" w:rsidRDefault="00000000">
      <w:pPr>
        <w:spacing w:after="120" w:line="360" w:lineRule="auto"/>
        <w:ind w:firstLine="720"/>
        <w:jc w:val="both"/>
      </w:pPr>
      <w:r>
        <w:t>Essa característica é decisiva para o POP proposto: a conexão entre o Power BI e o banco da Rural Data é feita pelo conector nativo PostgreSQL da ferramenta da Microsoft, sem necessidade de exportação intermediária de arquivos ou de integração via APIs customizadas. O acesso ocorre por meio de credenciais fornecidas pela camada de gestão do Supabase, com possibilidade de definição de papéis (roles) de leitura específicos para fins analíticos, preservando os princípios de governança e mínimo privilégio (ELMASRI; NAVATHE, 2018).</w:t>
      </w:r>
    </w:p>
    <w:p w14:paraId="066158B9" w14:textId="77777777" w:rsidR="00755E68" w:rsidRDefault="00000000">
      <w:pPr>
        <w:spacing w:before="240" w:after="180" w:line="360" w:lineRule="auto"/>
      </w:pPr>
      <w:r>
        <w:rPr>
          <w:b/>
          <w:bCs/>
        </w:rPr>
        <w:t>2.4 Normalização e Modelagem Dimensional</w:t>
      </w:r>
    </w:p>
    <w:p w14:paraId="5F957072" w14:textId="77777777" w:rsidR="00755E68" w:rsidRDefault="00000000">
      <w:pPr>
        <w:spacing w:after="120" w:line="360" w:lineRule="auto"/>
        <w:ind w:firstLine="720"/>
        <w:jc w:val="both"/>
      </w:pPr>
      <w:r>
        <w:t>A normalização é o processo de organizar dados para eliminar redundâncias e garantir integridade. No modelo relacional subjacente ao PostgreSQL da Rural Data, as entidades de assinaturas, faturamento, fazendas e metas seguem os princípios das Formas Normais propostas por Codd (1970):</w:t>
      </w:r>
    </w:p>
    <w:p w14:paraId="0307AAF2" w14:textId="77777777" w:rsidR="00755E68" w:rsidRDefault="00000000">
      <w:pPr>
        <w:pStyle w:val="ListParagraph"/>
        <w:numPr>
          <w:ilvl w:val="0"/>
          <w:numId w:val="2"/>
        </w:numPr>
        <w:spacing w:after="120" w:line="360" w:lineRule="auto"/>
        <w:jc w:val="both"/>
      </w:pPr>
      <w:r>
        <w:rPr>
          <w:b/>
          <w:bCs/>
        </w:rPr>
        <w:lastRenderedPageBreak/>
        <w:t xml:space="preserve">1FN: </w:t>
      </w:r>
      <w:r>
        <w:t>cada campo contém um valor atômico. Na tabela de faturamento, cada linha corresponde a uma única cobrança, com valor, data e identificador único — sem listas ou grupos repetitivos.</w:t>
      </w:r>
    </w:p>
    <w:p w14:paraId="5835BE1C" w14:textId="77777777" w:rsidR="00755E68" w:rsidRDefault="00000000">
      <w:pPr>
        <w:pStyle w:val="ListParagraph"/>
        <w:numPr>
          <w:ilvl w:val="0"/>
          <w:numId w:val="2"/>
        </w:numPr>
        <w:spacing w:after="120" w:line="360" w:lineRule="auto"/>
        <w:jc w:val="both"/>
      </w:pPr>
      <w:r>
        <w:rPr>
          <w:b/>
          <w:bCs/>
        </w:rPr>
        <w:t xml:space="preserve">2FN: </w:t>
      </w:r>
      <w:r>
        <w:t>todo atributo depende da chave primária completa. Na tabela de assinaturas, cada registro é identificado pelo identificador único da assinatura, e todos os atributos — plano contratado, data de criação, status, identificador do cliente — dependem exclusivamente desse identificador.</w:t>
      </w:r>
    </w:p>
    <w:p w14:paraId="20CB1ADB" w14:textId="77777777" w:rsidR="00755E68" w:rsidRDefault="00000000">
      <w:pPr>
        <w:pStyle w:val="ListParagraph"/>
        <w:numPr>
          <w:ilvl w:val="0"/>
          <w:numId w:val="2"/>
        </w:numPr>
        <w:spacing w:after="120" w:line="360" w:lineRule="auto"/>
        <w:jc w:val="both"/>
      </w:pPr>
      <w:r>
        <w:rPr>
          <w:b/>
          <w:bCs/>
        </w:rPr>
        <w:t xml:space="preserve">3FN: </w:t>
      </w:r>
      <w:r>
        <w:t>nenhum atributo não-chave depende de outro atributo não-chave. O nome do cliente, por exemplo, não é armazenado na tabela de faturamento; mantém-se apenas a chave estrangeira que aponta para a tabela de clientes, eliminando redundância.</w:t>
      </w:r>
    </w:p>
    <w:p w14:paraId="2AD21681" w14:textId="77777777" w:rsidR="00755E68" w:rsidRDefault="00000000">
      <w:pPr>
        <w:spacing w:after="120" w:line="360" w:lineRule="auto"/>
        <w:ind w:firstLine="720"/>
        <w:jc w:val="both"/>
      </w:pPr>
      <w:r>
        <w:t>Para fins analíticos, contudo, o modelo puramente normalizado não é o mais eficiente. A modelagem dimensional, formalizada por Kimball e Ross (2013), propõe a organização dos dados em tabelas-fato — que armazenam métricas mensuráveis, como o valor de cada cobrança — e tabelas-dimensão — que armazenam atributos descritivos, como tempo, cliente, produto e fazenda. Essa organização, conhecida como esquema estrela (star schema), é a estrutura recomendada para consumo em ferramentas de Business Intelligence.</w:t>
      </w:r>
    </w:p>
    <w:p w14:paraId="58B62FA0" w14:textId="77777777" w:rsidR="00755E68" w:rsidRDefault="00000000">
      <w:pPr>
        <w:spacing w:after="120" w:line="360" w:lineRule="auto"/>
        <w:ind w:firstLine="720"/>
        <w:jc w:val="both"/>
      </w:pPr>
      <w:r>
        <w:t>No POP proposto, o modelo é construído dentro do próprio Power BI a partir das tabelas importadas do PostgreSQL, com a tabela calendário desempenhando papel central como dimensão temporal. As relações entre as entidades observam os seguintes padrões de cardinalidade:</w:t>
      </w:r>
    </w:p>
    <w:p w14:paraId="604DE204" w14:textId="77777777" w:rsidR="00755E68" w:rsidRDefault="00000000">
      <w:pPr>
        <w:pStyle w:val="ListParagraph"/>
        <w:numPr>
          <w:ilvl w:val="0"/>
          <w:numId w:val="2"/>
        </w:numPr>
        <w:spacing w:after="120" w:line="360" w:lineRule="auto"/>
        <w:jc w:val="both"/>
      </w:pPr>
      <w:r>
        <w:rPr>
          <w:b/>
          <w:bCs/>
        </w:rPr>
        <w:t xml:space="preserve">1:N – Cliente e Assinaturas: </w:t>
      </w:r>
      <w:r>
        <w:t>um cliente pode possuir múltiplas assinaturas ao longo do tempo (renovações, mudanças de plano, reativações).</w:t>
      </w:r>
    </w:p>
    <w:p w14:paraId="26E4ABF1" w14:textId="77777777" w:rsidR="00755E68" w:rsidRDefault="00000000">
      <w:pPr>
        <w:pStyle w:val="ListParagraph"/>
        <w:numPr>
          <w:ilvl w:val="0"/>
          <w:numId w:val="2"/>
        </w:numPr>
        <w:spacing w:after="120" w:line="360" w:lineRule="auto"/>
        <w:jc w:val="both"/>
      </w:pPr>
      <w:r>
        <w:rPr>
          <w:b/>
          <w:bCs/>
        </w:rPr>
        <w:t xml:space="preserve">1:N – Assinatura e Logs: </w:t>
      </w:r>
      <w:r>
        <w:t>uma assinatura gera múltiplos eventos registrados na tabela de logs (ativação, alteração de plano, churn, reativação).</w:t>
      </w:r>
    </w:p>
    <w:p w14:paraId="2DA4F306" w14:textId="77777777" w:rsidR="00755E68" w:rsidRDefault="00000000">
      <w:pPr>
        <w:pStyle w:val="ListParagraph"/>
        <w:numPr>
          <w:ilvl w:val="0"/>
          <w:numId w:val="2"/>
        </w:numPr>
        <w:spacing w:after="120" w:line="360" w:lineRule="auto"/>
        <w:jc w:val="both"/>
      </w:pPr>
      <w:r>
        <w:rPr>
          <w:b/>
          <w:bCs/>
        </w:rPr>
        <w:t xml:space="preserve">1:N – Cliente e Fazendas: </w:t>
      </w:r>
      <w:r>
        <w:t>um produtor pode cadastrar várias fazendas no Nettão, cada uma com características operacionais próprias.</w:t>
      </w:r>
    </w:p>
    <w:p w14:paraId="2C0C090B" w14:textId="77777777" w:rsidR="00755E68" w:rsidRDefault="00000000">
      <w:pPr>
        <w:pStyle w:val="ListParagraph"/>
        <w:numPr>
          <w:ilvl w:val="0"/>
          <w:numId w:val="2"/>
        </w:numPr>
        <w:spacing w:after="120" w:line="360" w:lineRule="auto"/>
        <w:jc w:val="both"/>
      </w:pPr>
      <w:r>
        <w:rPr>
          <w:b/>
          <w:bCs/>
        </w:rPr>
        <w:t xml:space="preserve">1:N – Assinatura e Faturamento: </w:t>
      </w:r>
      <w:r>
        <w:t>cada assinatura gera múltiplos registros de cobrança ao longo do seu ciclo de vida.</w:t>
      </w:r>
    </w:p>
    <w:p w14:paraId="64C3B8FF" w14:textId="77777777" w:rsidR="00755E68" w:rsidRDefault="00000000">
      <w:pPr>
        <w:spacing w:before="240" w:after="180" w:line="360" w:lineRule="auto"/>
      </w:pPr>
      <w:r>
        <w:rPr>
          <w:b/>
          <w:bCs/>
        </w:rPr>
        <w:t>2.5 Business Intelligence e a Arquitetura do Power BI</w:t>
      </w:r>
    </w:p>
    <w:p w14:paraId="439CEBD9" w14:textId="77777777" w:rsidR="00755E68" w:rsidRDefault="00000000">
      <w:pPr>
        <w:spacing w:after="120" w:line="360" w:lineRule="auto"/>
        <w:ind w:firstLine="720"/>
        <w:jc w:val="both"/>
      </w:pPr>
      <w:r>
        <w:lastRenderedPageBreak/>
        <w:t>Business Intelligence (BI) é definido como o conjunto de processos, tecnologias e ferramentas voltado à transformação de dados brutos em informação útil para a tomada de decisão (SHARDA; DELEN; TURBAN, 2019). Em ambientes corporativos, soluções de BI cumprem o papel de camada analítica entre os sistemas transacionais — como o banco PostgreSQL da Rural Data — e os usuários de negócio que precisam acompanhar indicadores sem dependência de consultas SQL manuais.</w:t>
      </w:r>
    </w:p>
    <w:p w14:paraId="7610BC2B" w14:textId="77777777" w:rsidR="00755E68" w:rsidRDefault="00000000">
      <w:pPr>
        <w:spacing w:after="120" w:line="360" w:lineRule="auto"/>
        <w:ind w:firstLine="720"/>
        <w:jc w:val="both"/>
      </w:pPr>
      <w:r>
        <w:t>O Microsoft Power BI estrutura-se em quatro componentes principais que se encadeiam ao longo do pipeline analítico (MICROSOFT, 2024):</w:t>
      </w:r>
    </w:p>
    <w:p w14:paraId="7B0FC3BD" w14:textId="77777777" w:rsidR="00755E68" w:rsidRDefault="00000000">
      <w:pPr>
        <w:pStyle w:val="ListParagraph"/>
        <w:numPr>
          <w:ilvl w:val="0"/>
          <w:numId w:val="2"/>
        </w:numPr>
        <w:spacing w:after="120" w:line="360" w:lineRule="auto"/>
        <w:jc w:val="both"/>
      </w:pPr>
      <w:r>
        <w:rPr>
          <w:b/>
          <w:bCs/>
        </w:rPr>
        <w:t xml:space="preserve">Power Query: </w:t>
      </w:r>
      <w:r>
        <w:t>camada de ingestão e transformação dos dados, equivalente ao processo de Extract–Transform–Load (ETL), responsável por conectar-se às fontes, aplicar tipagem de colunas e executar limpezas.</w:t>
      </w:r>
    </w:p>
    <w:p w14:paraId="26D52F42" w14:textId="77777777" w:rsidR="00755E68" w:rsidRDefault="00000000">
      <w:pPr>
        <w:pStyle w:val="ListParagraph"/>
        <w:numPr>
          <w:ilvl w:val="0"/>
          <w:numId w:val="2"/>
        </w:numPr>
        <w:spacing w:after="120" w:line="360" w:lineRule="auto"/>
        <w:jc w:val="both"/>
      </w:pPr>
      <w:r>
        <w:rPr>
          <w:b/>
          <w:bCs/>
        </w:rPr>
        <w:t xml:space="preserve">Modelo de Dados: </w:t>
      </w:r>
      <w:r>
        <w:t>camada de modelagem relacional na qual são estabelecidas as cardinalidades e direções de filtro entre tabelas-fato e tabelas-dimensão.</w:t>
      </w:r>
    </w:p>
    <w:p w14:paraId="5B82CBB8" w14:textId="77777777" w:rsidR="00755E68" w:rsidRDefault="00000000">
      <w:pPr>
        <w:pStyle w:val="ListParagraph"/>
        <w:numPr>
          <w:ilvl w:val="0"/>
          <w:numId w:val="2"/>
        </w:numPr>
        <w:spacing w:after="120" w:line="360" w:lineRule="auto"/>
        <w:jc w:val="both"/>
      </w:pPr>
      <w:r>
        <w:rPr>
          <w:b/>
          <w:bCs/>
        </w:rPr>
        <w:t xml:space="preserve">DAX (Data Analysis Expressions): </w:t>
      </w:r>
      <w:r>
        <w:t>linguagem de fórmulas para criação de medidas analíticas e colunas calculadas, com inteligência temporal nativa para cálculos como acumulado no ano, mesmo período do ano anterior e variações percentuais.</w:t>
      </w:r>
    </w:p>
    <w:p w14:paraId="43CE3C64" w14:textId="77777777" w:rsidR="00755E68" w:rsidRDefault="00000000">
      <w:pPr>
        <w:pStyle w:val="ListParagraph"/>
        <w:numPr>
          <w:ilvl w:val="0"/>
          <w:numId w:val="2"/>
        </w:numPr>
        <w:spacing w:after="120" w:line="360" w:lineRule="auto"/>
        <w:jc w:val="both"/>
      </w:pPr>
      <w:r>
        <w:rPr>
          <w:b/>
          <w:bCs/>
        </w:rPr>
        <w:t xml:space="preserve">Camada de Visualização: </w:t>
      </w:r>
      <w:r>
        <w:t>interface gráfica para construção de painéis interativos, com filtros e segmentações que permitem ao usuário final navegar pelos dados sem alterar a estrutura subjacente.</w:t>
      </w:r>
    </w:p>
    <w:p w14:paraId="59EFAD68" w14:textId="77777777" w:rsidR="00755E68" w:rsidRDefault="00000000">
      <w:pPr>
        <w:spacing w:after="120" w:line="360" w:lineRule="auto"/>
        <w:ind w:firstLine="720"/>
        <w:jc w:val="both"/>
      </w:pPr>
      <w:r>
        <w:t>A separação entre essas camadas reflete os princípios da Clean Architecture (MARTIN, 2017): a lógica analítica (medidas DAX) é independente da origem dos dados, e a camada de apresentação é desacoplada de ambas. Caso a Rural Data migre, no futuro, de Supabase para outra hospedagem PostgreSQL ou para uma plataforma de data warehouse, a etapa de Power Query é a única que precisa ser ajustada — modelo e medidas permanecem inalterados.</w:t>
      </w:r>
    </w:p>
    <w:p w14:paraId="5ADC49E5" w14:textId="77777777" w:rsidR="00755E68" w:rsidRDefault="00000000">
      <w:pPr>
        <w:spacing w:before="240" w:after="180" w:line="360" w:lineRule="auto"/>
      </w:pPr>
      <w:r>
        <w:rPr>
          <w:b/>
          <w:bCs/>
        </w:rPr>
        <w:t>2.6 ETL/ELT e o Processo de Tratamento de Dados</w:t>
      </w:r>
    </w:p>
    <w:p w14:paraId="500BAB3C" w14:textId="77777777" w:rsidR="00755E68" w:rsidRDefault="00000000">
      <w:pPr>
        <w:spacing w:after="120" w:line="360" w:lineRule="auto"/>
        <w:ind w:firstLine="720"/>
        <w:jc w:val="both"/>
      </w:pPr>
      <w:r>
        <w:t xml:space="preserve">Os processos de integração de dados são tradicionalmente classificados em duas abordagens: ETL (Extract, Transform, Load), no qual os dados são transformados antes de serem carregados no destino analítico; e ELT (Extract, Load, Transform), no qual a transformação ocorre no próprio destino após o carregamento (KIMBALL; ROSS, 2013). O Power Query, utilizado neste POP, adota uma abordagem ETL clássica: os dados são extraídos </w:t>
      </w:r>
      <w:r>
        <w:lastRenderedPageBreak/>
        <w:t>do PostgreSQL, transformados na camada do Power BI Desktop e então carregados no modelo de dados em formato analítico.</w:t>
      </w:r>
    </w:p>
    <w:p w14:paraId="6AB4FCDA" w14:textId="77777777" w:rsidR="00755E68" w:rsidRDefault="00000000">
      <w:pPr>
        <w:spacing w:after="120" w:line="360" w:lineRule="auto"/>
        <w:ind w:firstLine="720"/>
        <w:jc w:val="both"/>
      </w:pPr>
      <w:r>
        <w:t>As transformações típicas aplicadas no Power Query incluem: ajuste de tipos de dados (conversão de strings em datas ou em valores numéricos), padronização de nomenclaturas de colunas, remoção de registros nulos ou duplicados, criação de colunas derivadas (mês, trimestre, ano) e filtros de escopo (por exemplo, restringir o conjunto às assinaturas ativas ou ao período relevante para análise). Essas operações são executadas em linguagem M e ficam registradas em etapas reproduzíveis, o que garante a rastreabilidade e a auditabilidade exigidas por um POP.</w:t>
      </w:r>
    </w:p>
    <w:p w14:paraId="3C553227" w14:textId="77777777" w:rsidR="00755E68" w:rsidRDefault="00000000">
      <w:pPr>
        <w:spacing w:before="240" w:after="180" w:line="360" w:lineRule="auto"/>
      </w:pPr>
      <w:r>
        <w:rPr>
          <w:b/>
          <w:bCs/>
        </w:rPr>
        <w:t>2.7 Indicadores-Chave de Desempenho (KPIs) e Monitoramento de Metas</w:t>
      </w:r>
    </w:p>
    <w:p w14:paraId="2B71DEC8" w14:textId="77777777" w:rsidR="00755E68" w:rsidRDefault="00000000">
      <w:pPr>
        <w:spacing w:after="120" w:line="360" w:lineRule="auto"/>
        <w:ind w:firstLine="720"/>
        <w:jc w:val="both"/>
      </w:pPr>
      <w:r>
        <w:t>Indicadores-Chave de Desempenho (Key Performance Indicators – KPIs) são métricas selecionadas pela gestão para representar o progresso da organização em direção aos seus objetivos estratégicos (PARMENTER, 2020). Em modelos de negócio baseados em assinatura, como o da Rural Data, os KPIs comumente monitorados incluem o faturamento total, a Receita Recorrente Mensal (Monthly Recurring Revenue – MRR), o ticket médio por cliente, a base de clientes ativos e a taxa de cancelamento (churn rate).</w:t>
      </w:r>
    </w:p>
    <w:p w14:paraId="4A7C659D" w14:textId="77777777" w:rsidR="00755E68" w:rsidRDefault="00000000">
      <w:pPr>
        <w:spacing w:after="120" w:line="360" w:lineRule="auto"/>
        <w:ind w:firstLine="720"/>
        <w:jc w:val="both"/>
      </w:pPr>
      <w:r>
        <w:t>O monitoramento de metas, por sua vez, consiste na comparação sistemática entre os valores realizados — extraídos do banco transacional — e os valores orçados, previamente armazenados na tabela de metas. Essa comparação pode ser absoluta (diferença em reais ou em unidades) ou relativa (percentual de atingimento), e é tipicamente apresentada em visuais do tipo gauge, KPI Card ou gráficos de barras combinadas com linhas de meta. O painel desenvolvido neste POP estrutura-se em torno dessa comparação, permitindo à gestão da Rural Data identificar, em tempo quase real, desvios em relação ao planejamento mensal.</w:t>
      </w:r>
    </w:p>
    <w:p w14:paraId="21531267" w14:textId="77777777" w:rsidR="00755E68" w:rsidRDefault="00000000">
      <w:pPr>
        <w:spacing w:before="360" w:after="240" w:line="360" w:lineRule="auto"/>
      </w:pPr>
      <w:r>
        <w:rPr>
          <w:b/>
          <w:bCs/>
        </w:rPr>
        <w:t>3. METODOLOGIA PROPOSTA</w:t>
      </w:r>
    </w:p>
    <w:p w14:paraId="0AF5AF25" w14:textId="77777777" w:rsidR="00755E68" w:rsidRDefault="00000000">
      <w:pPr>
        <w:spacing w:before="240" w:after="180" w:line="360" w:lineRule="auto"/>
      </w:pPr>
      <w:r>
        <w:rPr>
          <w:b/>
          <w:bCs/>
        </w:rPr>
        <w:t>3.1 Caracterização da Empresa e do Sistema Nettão</w:t>
      </w:r>
    </w:p>
    <w:p w14:paraId="0E4CDAFD" w14:textId="77777777" w:rsidR="00755E68" w:rsidRDefault="00000000">
      <w:pPr>
        <w:spacing w:after="120" w:line="360" w:lineRule="auto"/>
        <w:ind w:firstLine="720"/>
        <w:jc w:val="both"/>
      </w:pPr>
      <w:r>
        <w:t xml:space="preserve">A Rural Data é uma empresa brasileira de tecnologia para o agronegócio (agtech), sediada em Goiânia (GO), responsável pelo desenvolvimento e operação do Nettão, sistema de gestão de fazendas entregue de forma nativa via WhatsApp. O posicionamento da empresa está orientado a produtores rurais de pecuária bovina e suinocultura, segmentos historicamente sub-atendidos por softwares de gestão tradicionais — em razão da curva de adoção exigida por </w:t>
      </w:r>
      <w:r>
        <w:lastRenderedPageBreak/>
        <w:t>interfaces web ou desktop. A escolha do WhatsApp como canal principal aproxima o produto da rotina real do produtor, permitindo registros de eventos da fazenda, consultas a indicadores zootécnicos e financeiros e relatórios consolidados diretamente pela interface de mensagens.</w:t>
      </w:r>
    </w:p>
    <w:p w14:paraId="3579C665" w14:textId="77777777" w:rsidR="00755E68" w:rsidRDefault="00000000">
      <w:pPr>
        <w:spacing w:after="120" w:line="360" w:lineRule="auto"/>
        <w:ind w:firstLine="720"/>
        <w:jc w:val="both"/>
      </w:pPr>
      <w:r>
        <w:t>Toda a base transacional do Nettão é armazenada em banco PostgreSQL hospedado no Supabase. A estrutura compreende, entre outras, tabelas de cobranças e faturamento, assinaturas vigentes, logs de eventos de ciclo de vida das assinaturas (ativações, alterações de plano, cancelamentos), cadastro de fazendas vinculadas a cada cliente, e metas comerciais mensais definidas pela gestão. A integração analítica com o Power BI ocorre via conector PostgreSQL nativo da ferramenta, utilizando credenciais com permissão restrita de leitura, em conformidade com as práticas de governança da empresa.</w:t>
      </w:r>
    </w:p>
    <w:p w14:paraId="1BBCEA29" w14:textId="77777777" w:rsidR="00755E68" w:rsidRDefault="00000000">
      <w:pPr>
        <w:spacing w:before="240" w:after="180" w:line="360" w:lineRule="auto"/>
      </w:pPr>
      <w:r>
        <w:rPr>
          <w:b/>
          <w:bCs/>
        </w:rPr>
        <w:t>3.2 Descrição do Procedimento Operacional Padrão (POP)</w:t>
      </w:r>
    </w:p>
    <w:p w14:paraId="396FD5BA" w14:textId="77777777" w:rsidR="00755E68" w:rsidRDefault="00000000">
      <w:pPr>
        <w:spacing w:after="120" w:line="360" w:lineRule="auto"/>
        <w:ind w:firstLine="720"/>
        <w:jc w:val="both"/>
      </w:pPr>
      <w:r>
        <w:t>O POP proposto estrutura-se em seis etapas sequenciais:</w:t>
      </w:r>
    </w:p>
    <w:p w14:paraId="12670834" w14:textId="77777777" w:rsidR="00755E68" w:rsidRDefault="00000000">
      <w:pPr>
        <w:pStyle w:val="ListParagraph"/>
        <w:numPr>
          <w:ilvl w:val="0"/>
          <w:numId w:val="2"/>
        </w:numPr>
        <w:spacing w:after="120" w:line="360" w:lineRule="auto"/>
        <w:jc w:val="both"/>
      </w:pPr>
      <w:r>
        <w:rPr>
          <w:b/>
          <w:bCs/>
        </w:rPr>
        <w:t xml:space="preserve">Etapa 1 – Identificação das fontes de dados: </w:t>
      </w:r>
      <w:r>
        <w:t>mapeamento das tabelas do banco PostgreSQL relevantes para a análise — faturamento, assinaturas, logs de assinaturas, fazendas, metas e calendário —, com validação dos campos-chave e das relações esperadas entre elas.</w:t>
      </w:r>
    </w:p>
    <w:p w14:paraId="15B27F3F" w14:textId="77777777" w:rsidR="00755E68" w:rsidRDefault="00000000">
      <w:pPr>
        <w:pStyle w:val="ListParagraph"/>
        <w:numPr>
          <w:ilvl w:val="0"/>
          <w:numId w:val="2"/>
        </w:numPr>
        <w:spacing w:after="120" w:line="360" w:lineRule="auto"/>
        <w:jc w:val="both"/>
      </w:pPr>
      <w:r>
        <w:rPr>
          <w:b/>
          <w:bCs/>
        </w:rPr>
        <w:t xml:space="preserve">Etapa 2 – Conexão ao banco via Power BI: </w:t>
      </w:r>
      <w:r>
        <w:t>estabelecimento da conexão entre o Power BI Desktop e o banco Supabase por meio do conector nativo PostgreSQL, com fornecimento das credenciais de leitura e seleção das tabelas a serem importadas para o ambiente analítico.</w:t>
      </w:r>
    </w:p>
    <w:p w14:paraId="7BC84AE1" w14:textId="77777777" w:rsidR="00755E68" w:rsidRDefault="00000000">
      <w:pPr>
        <w:pStyle w:val="ListParagraph"/>
        <w:numPr>
          <w:ilvl w:val="0"/>
          <w:numId w:val="2"/>
        </w:numPr>
        <w:spacing w:after="120" w:line="360" w:lineRule="auto"/>
        <w:jc w:val="both"/>
      </w:pPr>
      <w:r>
        <w:rPr>
          <w:b/>
          <w:bCs/>
        </w:rPr>
        <w:t xml:space="preserve">Etapa 3 – Tratamento no Power Query: </w:t>
      </w:r>
      <w:r>
        <w:t>aplicação de transformações sobre as tabelas importadas — ajuste de tipagem (datas, valores monetários, identificadores), padronização de nomenclaturas, criação de colunas derivadas de tempo e filtros de escopo —, todas registradas em etapas reproduzíveis na linguagem M.</w:t>
      </w:r>
    </w:p>
    <w:p w14:paraId="4DEDA661" w14:textId="77777777" w:rsidR="00755E68" w:rsidRDefault="00000000">
      <w:pPr>
        <w:pStyle w:val="ListParagraph"/>
        <w:numPr>
          <w:ilvl w:val="0"/>
          <w:numId w:val="2"/>
        </w:numPr>
        <w:spacing w:after="120" w:line="360" w:lineRule="auto"/>
        <w:jc w:val="both"/>
      </w:pPr>
      <w:r>
        <w:rPr>
          <w:b/>
          <w:bCs/>
        </w:rPr>
        <w:t xml:space="preserve">Etapa 4 – Modelagem relacional: </w:t>
      </w:r>
      <w:r>
        <w:t>estruturação do modelo de dados no Power BI conforme o esquema estrela, definindo as cardinalidades entre tabelas-fato (faturamento, logs) e tabelas-dimensão (assinaturas, fazendas, calendário, metas), com a tabela calendário marcada como dimensão de tempo para habilitar funções de inteligência temporal em DAX.</w:t>
      </w:r>
    </w:p>
    <w:p w14:paraId="3114AED5" w14:textId="77777777" w:rsidR="00755E68" w:rsidRDefault="00000000">
      <w:pPr>
        <w:pStyle w:val="ListParagraph"/>
        <w:numPr>
          <w:ilvl w:val="0"/>
          <w:numId w:val="2"/>
        </w:numPr>
        <w:spacing w:after="120" w:line="360" w:lineRule="auto"/>
        <w:jc w:val="both"/>
      </w:pPr>
      <w:r>
        <w:rPr>
          <w:b/>
          <w:bCs/>
        </w:rPr>
        <w:t xml:space="preserve">Etapa 5 – Cálculo de indicadores em DAX: </w:t>
      </w:r>
      <w:r>
        <w:t xml:space="preserve">desenvolvimento das medidas analíticas listadas no Quadro 3, contemplando métricas absolutas (faturamento, MRR, base ativa) </w:t>
      </w:r>
      <w:r>
        <w:lastRenderedPageBreak/>
        <w:t>e métricas comparativas (atingimento de meta, variação mês contra mês, variação contra mesmo período do ano anterior).</w:t>
      </w:r>
    </w:p>
    <w:p w14:paraId="0183E1D2" w14:textId="77777777" w:rsidR="00755E68" w:rsidRDefault="00000000">
      <w:pPr>
        <w:pStyle w:val="ListParagraph"/>
        <w:numPr>
          <w:ilvl w:val="0"/>
          <w:numId w:val="2"/>
        </w:numPr>
        <w:spacing w:after="120" w:line="360" w:lineRule="auto"/>
        <w:jc w:val="both"/>
      </w:pPr>
      <w:r>
        <w:rPr>
          <w:b/>
          <w:bCs/>
        </w:rPr>
        <w:t xml:space="preserve">Etapa 6 – Construção e publicação do dashboard: </w:t>
      </w:r>
      <w:r>
        <w:t>montagem do painel interativo de acompanhamento de metas, com visuais organizados por área temática (financeiro, comercial, operacional), aplicação de filtros e segmentações temporais, e publicação no serviço Power BI para acesso pela gestão da Rural Data.</w:t>
      </w:r>
    </w:p>
    <w:p w14:paraId="3B7AF0DC" w14:textId="77777777" w:rsidR="00755E68" w:rsidRDefault="00000000">
      <w:pPr>
        <w:spacing w:before="240" w:after="180" w:line="360" w:lineRule="auto"/>
      </w:pPr>
      <w:r>
        <w:rPr>
          <w:b/>
          <w:bCs/>
        </w:rPr>
        <w:t>3.3 Fontes de Dados e Estrutura das Tabelas</w:t>
      </w:r>
    </w:p>
    <w:p w14:paraId="7676EAE8" w14:textId="77777777" w:rsidR="00755E68" w:rsidRDefault="00000000">
      <w:pPr>
        <w:spacing w:after="120" w:line="360" w:lineRule="auto"/>
        <w:ind w:firstLine="720"/>
        <w:jc w:val="both"/>
      </w:pPr>
      <w:r>
        <w:t>O Quadro 1 descreve as principais tabelas do banco PostgreSQL utilizadas como fontes de dados para o painel de acompanhamento de metas:</w:t>
      </w:r>
    </w:p>
    <w:p w14:paraId="4B1EBA6B" w14:textId="77777777" w:rsidR="00755E68" w:rsidRDefault="00000000">
      <w:pPr>
        <w:spacing w:before="180" w:after="60"/>
        <w:jc w:val="center"/>
      </w:pPr>
      <w:r>
        <w:rPr>
          <w:b/>
          <w:bCs/>
        </w:rPr>
        <w:t>Quadro 1 – Estrutura das Fontes de 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2520"/>
        <w:gridCol w:w="2880"/>
      </w:tblGrid>
      <w:tr w:rsidR="00755E68" w14:paraId="48633462"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E289B0" w14:textId="77777777" w:rsidR="00755E68" w:rsidRDefault="00000000">
            <w:pPr>
              <w:spacing w:line="276" w:lineRule="auto"/>
              <w:jc w:val="center"/>
            </w:pPr>
            <w:r>
              <w:rPr>
                <w:b/>
                <w:bCs/>
                <w:sz w:val="22"/>
                <w:szCs w:val="22"/>
              </w:rPr>
              <w:t>Tabela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C91794" w14:textId="77777777" w:rsidR="00755E68" w:rsidRDefault="00000000">
            <w:pPr>
              <w:spacing w:line="276" w:lineRule="auto"/>
              <w:jc w:val="center"/>
            </w:pPr>
            <w:r>
              <w:rPr>
                <w:b/>
                <w:bCs/>
                <w:sz w:val="22"/>
                <w:szCs w:val="22"/>
              </w:rPr>
              <w:t>Tipo</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9A5F50" w14:textId="77777777" w:rsidR="00755E68" w:rsidRDefault="00000000">
            <w:pPr>
              <w:spacing w:line="276" w:lineRule="auto"/>
              <w:jc w:val="center"/>
            </w:pPr>
            <w:r>
              <w:rPr>
                <w:b/>
                <w:bCs/>
                <w:sz w:val="22"/>
                <w:szCs w:val="22"/>
              </w:rPr>
              <w:t>Conteúdo Principal</w:t>
            </w:r>
          </w:p>
        </w:tc>
        <w:tc>
          <w:tcPr>
            <w:tcW w:w="28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472BAB" w14:textId="77777777" w:rsidR="00755E68" w:rsidRDefault="00000000">
            <w:pPr>
              <w:spacing w:line="276" w:lineRule="auto"/>
              <w:jc w:val="center"/>
            </w:pPr>
            <w:r>
              <w:rPr>
                <w:b/>
                <w:bCs/>
                <w:sz w:val="22"/>
                <w:szCs w:val="22"/>
              </w:rPr>
              <w:t>Papel no Modelo</w:t>
            </w:r>
          </w:p>
        </w:tc>
      </w:tr>
      <w:tr w:rsidR="00755E68" w14:paraId="16DC2053"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D77B5" w14:textId="77777777" w:rsidR="00755E68" w:rsidRDefault="00000000">
            <w:pPr>
              <w:spacing w:line="276" w:lineRule="auto"/>
            </w:pPr>
            <w:r>
              <w:rPr>
                <w:sz w:val="22"/>
                <w:szCs w:val="22"/>
              </w:rPr>
              <w:t>faturamento</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62801" w14:textId="77777777" w:rsidR="00755E68" w:rsidRDefault="00000000">
            <w:pPr>
              <w:spacing w:line="276" w:lineRule="auto"/>
            </w:pPr>
            <w:r>
              <w:rPr>
                <w:sz w:val="22"/>
                <w:szCs w:val="22"/>
              </w:rPr>
              <w:t>Fato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9929D" w14:textId="77777777" w:rsidR="00755E68" w:rsidRDefault="00000000">
            <w:pPr>
              <w:spacing w:line="276" w:lineRule="auto"/>
            </w:pPr>
            <w:r>
              <w:rPr>
                <w:sz w:val="22"/>
                <w:szCs w:val="22"/>
              </w:rPr>
              <w:t>Cobranças emitidas, valores, datas, status de pagamento</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FA92BD" w14:textId="77777777" w:rsidR="00755E68" w:rsidRDefault="00000000">
            <w:pPr>
              <w:spacing w:line="276" w:lineRule="auto"/>
            </w:pPr>
            <w:r>
              <w:rPr>
                <w:sz w:val="22"/>
                <w:szCs w:val="22"/>
              </w:rPr>
              <w:t>Base para indicadores financeiros (receita, MRR, ticket médio)</w:t>
            </w:r>
          </w:p>
        </w:tc>
      </w:tr>
      <w:tr w:rsidR="00755E68" w14:paraId="14030D47"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0C475" w14:textId="77777777" w:rsidR="00755E68" w:rsidRDefault="00000000">
            <w:pPr>
              <w:spacing w:line="276" w:lineRule="auto"/>
            </w:pPr>
            <w:r>
              <w:rPr>
                <w:sz w:val="22"/>
                <w:szCs w:val="22"/>
              </w:rPr>
              <w:t>assinaturas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D67BE" w14:textId="77777777" w:rsidR="00755E68" w:rsidRDefault="00000000">
            <w:pPr>
              <w:spacing w:line="276" w:lineRule="auto"/>
            </w:pPr>
            <w:r>
              <w:rPr>
                <w:sz w:val="22"/>
                <w:szCs w:val="22"/>
              </w:rPr>
              <w:t>Dimensão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19014" w14:textId="77777777" w:rsidR="00755E68" w:rsidRDefault="00000000">
            <w:pPr>
              <w:spacing w:line="276" w:lineRule="auto"/>
            </w:pPr>
            <w:r>
              <w:rPr>
                <w:sz w:val="22"/>
                <w:szCs w:val="22"/>
              </w:rPr>
              <w:t>Assinaturas ativas, canceladas, plano contratado, datas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147FA" w14:textId="77777777" w:rsidR="00755E68" w:rsidRDefault="00000000">
            <w:pPr>
              <w:spacing w:line="276" w:lineRule="auto"/>
            </w:pPr>
            <w:r>
              <w:rPr>
                <w:sz w:val="22"/>
                <w:szCs w:val="22"/>
              </w:rPr>
              <w:t>Identificação da base de clientes e do estágio do ciclo de vida</w:t>
            </w:r>
          </w:p>
        </w:tc>
      </w:tr>
      <w:tr w:rsidR="00755E68" w14:paraId="15B87E6E"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10CE5" w14:textId="77777777" w:rsidR="00755E68" w:rsidRDefault="00000000">
            <w:pPr>
              <w:spacing w:line="276" w:lineRule="auto"/>
            </w:pPr>
            <w:r>
              <w:rPr>
                <w:sz w:val="22"/>
                <w:szCs w:val="22"/>
              </w:rPr>
              <w:t>logs de assinaturas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89E90" w14:textId="77777777" w:rsidR="00755E68" w:rsidRDefault="00000000">
            <w:pPr>
              <w:spacing w:line="276" w:lineRule="auto"/>
            </w:pPr>
            <w:r>
              <w:rPr>
                <w:sz w:val="22"/>
                <w:szCs w:val="22"/>
              </w:rPr>
              <w:t>Fato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7A6F8" w14:textId="77777777" w:rsidR="00755E68" w:rsidRDefault="00000000">
            <w:pPr>
              <w:spacing w:line="276" w:lineRule="auto"/>
            </w:pPr>
            <w:r>
              <w:rPr>
                <w:sz w:val="22"/>
                <w:szCs w:val="22"/>
              </w:rPr>
              <w:t>Histórico de eventos: ativações, alterações, churn</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D5BD2" w14:textId="77777777" w:rsidR="00755E68" w:rsidRDefault="00000000">
            <w:pPr>
              <w:spacing w:line="276" w:lineRule="auto"/>
            </w:pPr>
            <w:r>
              <w:rPr>
                <w:sz w:val="22"/>
                <w:szCs w:val="22"/>
              </w:rPr>
              <w:t>Análise de evolução da base e cálculo de churn</w:t>
            </w:r>
          </w:p>
        </w:tc>
      </w:tr>
      <w:tr w:rsidR="00755E68" w14:paraId="5A004D1F"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D6EE18" w14:textId="77777777" w:rsidR="00755E68" w:rsidRDefault="00000000">
            <w:pPr>
              <w:spacing w:line="276" w:lineRule="auto"/>
            </w:pPr>
            <w:r>
              <w:rPr>
                <w:sz w:val="22"/>
                <w:szCs w:val="22"/>
              </w:rPr>
              <w:t>fazendas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78E809" w14:textId="77777777" w:rsidR="00755E68" w:rsidRDefault="00000000">
            <w:pPr>
              <w:spacing w:line="276" w:lineRule="auto"/>
            </w:pPr>
            <w:r>
              <w:rPr>
                <w:sz w:val="22"/>
                <w:szCs w:val="22"/>
              </w:rPr>
              <w:t>Dimensão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A6886" w14:textId="77777777" w:rsidR="00755E68" w:rsidRDefault="00000000">
            <w:pPr>
              <w:spacing w:line="276" w:lineRule="auto"/>
            </w:pPr>
            <w:r>
              <w:rPr>
                <w:sz w:val="22"/>
                <w:szCs w:val="22"/>
              </w:rPr>
              <w:t>Cadastro de fazendas vinculadas aos clientes</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38D2EA" w14:textId="77777777" w:rsidR="00755E68" w:rsidRDefault="00000000">
            <w:pPr>
              <w:spacing w:line="276" w:lineRule="auto"/>
            </w:pPr>
            <w:r>
              <w:rPr>
                <w:sz w:val="22"/>
                <w:szCs w:val="22"/>
              </w:rPr>
              <w:t>Segmentação operacional por porte, estado, atividade</w:t>
            </w:r>
          </w:p>
        </w:tc>
      </w:tr>
      <w:tr w:rsidR="00755E68" w14:paraId="02E7C2F6"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B90AD" w14:textId="77777777" w:rsidR="00755E68" w:rsidRDefault="00000000">
            <w:pPr>
              <w:spacing w:line="276" w:lineRule="auto"/>
            </w:pPr>
            <w:r>
              <w:rPr>
                <w:sz w:val="22"/>
                <w:szCs w:val="22"/>
              </w:rPr>
              <w:t>metas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A24B2" w14:textId="77777777" w:rsidR="00755E68" w:rsidRDefault="00000000">
            <w:pPr>
              <w:spacing w:line="276" w:lineRule="auto"/>
            </w:pPr>
            <w:r>
              <w:rPr>
                <w:sz w:val="22"/>
                <w:szCs w:val="22"/>
              </w:rPr>
              <w:t>Dimensão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EB76E" w14:textId="77777777" w:rsidR="00755E68" w:rsidRDefault="00000000">
            <w:pPr>
              <w:spacing w:line="276" w:lineRule="auto"/>
            </w:pPr>
            <w:r>
              <w:rPr>
                <w:sz w:val="22"/>
                <w:szCs w:val="22"/>
              </w:rPr>
              <w:t>Metas mensais de faturamento, novas assinaturas e MRR</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FA69D" w14:textId="77777777" w:rsidR="00755E68" w:rsidRDefault="00000000">
            <w:pPr>
              <w:spacing w:line="276" w:lineRule="auto"/>
            </w:pPr>
            <w:r>
              <w:rPr>
                <w:sz w:val="22"/>
                <w:szCs w:val="22"/>
              </w:rPr>
              <w:t>Referência para cálculo de atingimento de meta</w:t>
            </w:r>
          </w:p>
        </w:tc>
      </w:tr>
      <w:tr w:rsidR="00755E68" w14:paraId="7EA5391B"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EF677" w14:textId="77777777" w:rsidR="00755E68" w:rsidRDefault="00000000">
            <w:pPr>
              <w:spacing w:line="276" w:lineRule="auto"/>
            </w:pPr>
            <w:r>
              <w:rPr>
                <w:sz w:val="22"/>
                <w:szCs w:val="22"/>
              </w:rPr>
              <w:t>calendário</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1F551" w14:textId="77777777" w:rsidR="00755E68" w:rsidRDefault="00000000">
            <w:pPr>
              <w:spacing w:line="276" w:lineRule="auto"/>
            </w:pPr>
            <w:r>
              <w:rPr>
                <w:sz w:val="22"/>
                <w:szCs w:val="22"/>
              </w:rPr>
              <w:t>Dimensão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D1D35" w14:textId="77777777" w:rsidR="00755E68" w:rsidRDefault="00000000">
            <w:pPr>
              <w:spacing w:line="276" w:lineRule="auto"/>
            </w:pPr>
            <w:r>
              <w:rPr>
                <w:sz w:val="22"/>
                <w:szCs w:val="22"/>
              </w:rPr>
              <w:t>Tabela temporal com ano, mês, trimestre, dia</w:t>
            </w:r>
          </w:p>
        </w:tc>
        <w:tc>
          <w:tcPr>
            <w:tcW w:w="28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672F6" w14:textId="77777777" w:rsidR="00755E68" w:rsidRDefault="00000000">
            <w:pPr>
              <w:spacing w:line="276" w:lineRule="auto"/>
            </w:pPr>
            <w:r>
              <w:rPr>
                <w:sz w:val="22"/>
                <w:szCs w:val="22"/>
              </w:rPr>
              <w:t>Dimensão de tempo para inteligência temporal em DAX</w:t>
            </w:r>
          </w:p>
        </w:tc>
      </w:tr>
    </w:tbl>
    <w:p w14:paraId="238CB6D3" w14:textId="77777777" w:rsidR="00755E68" w:rsidRDefault="00000000">
      <w:pPr>
        <w:spacing w:before="60" w:after="240"/>
        <w:jc w:val="center"/>
      </w:pPr>
      <w:r>
        <w:rPr>
          <w:i/>
          <w:iCs/>
          <w:sz w:val="20"/>
          <w:szCs w:val="20"/>
        </w:rPr>
        <w:t>Fonte: Elaborado pelo autor (2026).</w:t>
      </w:r>
    </w:p>
    <w:p w14:paraId="684E736C" w14:textId="77777777" w:rsidR="00755E68" w:rsidRDefault="00000000">
      <w:pPr>
        <w:spacing w:before="240" w:after="180" w:line="360" w:lineRule="auto"/>
      </w:pPr>
      <w:r>
        <w:rPr>
          <w:b/>
          <w:bCs/>
        </w:rPr>
        <w:t>3.4 Quadro Geral do POP</w:t>
      </w:r>
    </w:p>
    <w:p w14:paraId="24AEEDF9" w14:textId="77777777" w:rsidR="00755E68" w:rsidRDefault="00000000">
      <w:pPr>
        <w:spacing w:after="120" w:line="360" w:lineRule="auto"/>
        <w:ind w:firstLine="720"/>
        <w:jc w:val="both"/>
      </w:pPr>
      <w:r>
        <w:t>O Quadro 2 sintetiza o procedimento operacional padrão proposto, articulando objetivo, entradas, etapas e saídas em formato de referência rápida para reprodução do processo.</w:t>
      </w:r>
    </w:p>
    <w:p w14:paraId="65EC26F9" w14:textId="77777777" w:rsidR="00755E68" w:rsidRDefault="00000000">
      <w:pPr>
        <w:spacing w:before="180" w:after="60"/>
        <w:jc w:val="center"/>
      </w:pPr>
      <w:r>
        <w:rPr>
          <w:b/>
          <w:bCs/>
        </w:rPr>
        <w:t>Quadro 2 – Síntese do Procedimento Operacional Padrão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755E68" w14:paraId="11537F71"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F9FFD2B" w14:textId="77777777" w:rsidR="00755E68" w:rsidRDefault="00000000">
            <w:pPr>
              <w:spacing w:line="276" w:lineRule="auto"/>
              <w:jc w:val="center"/>
            </w:pPr>
            <w:r>
              <w:rPr>
                <w:b/>
                <w:bCs/>
                <w:sz w:val="22"/>
                <w:szCs w:val="22"/>
              </w:rPr>
              <w:lastRenderedPageBreak/>
              <w:t>Componente</w:t>
            </w:r>
          </w:p>
        </w:tc>
        <w:tc>
          <w:tcPr>
            <w:tcW w:w="68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C024E0" w14:textId="77777777" w:rsidR="00755E68" w:rsidRDefault="00000000">
            <w:pPr>
              <w:spacing w:line="276" w:lineRule="auto"/>
              <w:jc w:val="center"/>
            </w:pPr>
            <w:r>
              <w:rPr>
                <w:b/>
                <w:bCs/>
                <w:sz w:val="22"/>
                <w:szCs w:val="22"/>
              </w:rPr>
              <w:t>Descrição</w:t>
            </w:r>
          </w:p>
        </w:tc>
      </w:tr>
      <w:tr w:rsidR="00755E68" w14:paraId="606BA04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CD244" w14:textId="77777777" w:rsidR="00755E68" w:rsidRDefault="00000000">
            <w:pPr>
              <w:spacing w:line="276" w:lineRule="auto"/>
            </w:pPr>
            <w:r>
              <w:rPr>
                <w:b/>
                <w:bCs/>
                <w:sz w:val="22"/>
                <w:szCs w:val="22"/>
              </w:rPr>
              <w:t>Objetivo</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B47BA" w14:textId="77777777" w:rsidR="00755E68" w:rsidRDefault="00000000">
            <w:pPr>
              <w:spacing w:line="276" w:lineRule="auto"/>
            </w:pPr>
            <w:r>
              <w:rPr>
                <w:sz w:val="22"/>
                <w:szCs w:val="22"/>
              </w:rPr>
              <w:t>Padronizar a extração, o tratamento e a análise de dados empresariais do banco PostgreSQL (Supabase) e viabilizar o monitoramento contínuo das metas da Rural Data por meio de dashboard interativo no Power BI.</w:t>
            </w:r>
          </w:p>
        </w:tc>
      </w:tr>
      <w:tr w:rsidR="00755E68" w14:paraId="11286515"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0D1B6" w14:textId="77777777" w:rsidR="00755E68" w:rsidRDefault="00000000">
            <w:pPr>
              <w:spacing w:line="276" w:lineRule="auto"/>
            </w:pPr>
            <w:r>
              <w:rPr>
                <w:b/>
                <w:bCs/>
                <w:sz w:val="22"/>
                <w:szCs w:val="22"/>
              </w:rPr>
              <w:t>Entradas</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9E7A5" w14:textId="77777777" w:rsidR="00755E68" w:rsidRDefault="00000000">
            <w:pPr>
              <w:spacing w:line="276" w:lineRule="auto"/>
            </w:pPr>
            <w:r>
              <w:rPr>
                <w:sz w:val="22"/>
                <w:szCs w:val="22"/>
              </w:rPr>
              <w:t>Credenciais de leitura do banco PostgreSQL; lista das tabelas relevantes (faturamento, assinaturas, logs, fazendas, metas, calendário); definição de período de análise e granularidade temporal.</w:t>
            </w:r>
          </w:p>
        </w:tc>
      </w:tr>
      <w:tr w:rsidR="00755E68" w14:paraId="4455BC1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A9CB0" w14:textId="77777777" w:rsidR="00755E68" w:rsidRDefault="00000000">
            <w:pPr>
              <w:spacing w:line="276" w:lineRule="auto"/>
            </w:pPr>
            <w:r>
              <w:rPr>
                <w:b/>
                <w:bCs/>
                <w:sz w:val="22"/>
                <w:szCs w:val="22"/>
              </w:rPr>
              <w:t>Etapa 1</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19EAE8" w14:textId="77777777" w:rsidR="00755E68" w:rsidRDefault="00000000">
            <w:pPr>
              <w:spacing w:line="276" w:lineRule="auto"/>
            </w:pPr>
            <w:r>
              <w:rPr>
                <w:sz w:val="22"/>
                <w:szCs w:val="22"/>
              </w:rPr>
              <w:t>Identificação das fontes de dados e validação dos campos-chave e relações entre tabelas.</w:t>
            </w:r>
          </w:p>
        </w:tc>
      </w:tr>
      <w:tr w:rsidR="00755E68" w14:paraId="4CAF6FD6"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CC6B2" w14:textId="77777777" w:rsidR="00755E68" w:rsidRDefault="00000000">
            <w:pPr>
              <w:spacing w:line="276" w:lineRule="auto"/>
            </w:pPr>
            <w:r>
              <w:rPr>
                <w:b/>
                <w:bCs/>
                <w:sz w:val="22"/>
                <w:szCs w:val="22"/>
              </w:rPr>
              <w:t>Etapa 2</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F716E" w14:textId="77777777" w:rsidR="00755E68" w:rsidRDefault="00000000">
            <w:pPr>
              <w:spacing w:line="276" w:lineRule="auto"/>
            </w:pPr>
            <w:r>
              <w:rPr>
                <w:sz w:val="22"/>
                <w:szCs w:val="22"/>
              </w:rPr>
              <w:t>Conexão ao banco PostgreSQL via conector nativo do Power BI e importação das tabelas selecionadas.</w:t>
            </w:r>
          </w:p>
        </w:tc>
      </w:tr>
      <w:tr w:rsidR="00755E68" w14:paraId="11E63EC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24DB9" w14:textId="77777777" w:rsidR="00755E68" w:rsidRDefault="00000000">
            <w:pPr>
              <w:spacing w:line="276" w:lineRule="auto"/>
            </w:pPr>
            <w:r>
              <w:rPr>
                <w:b/>
                <w:bCs/>
                <w:sz w:val="22"/>
                <w:szCs w:val="22"/>
              </w:rPr>
              <w:t>Etapa 3</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C51AE" w14:textId="77777777" w:rsidR="00755E68" w:rsidRDefault="00000000">
            <w:pPr>
              <w:spacing w:line="276" w:lineRule="auto"/>
            </w:pPr>
            <w:r>
              <w:rPr>
                <w:sz w:val="22"/>
                <w:szCs w:val="22"/>
              </w:rPr>
              <w:t>Tratamento no Power Query: tipagem, padronização, criação de colunas derivadas e filtros de escopo.</w:t>
            </w:r>
          </w:p>
        </w:tc>
      </w:tr>
      <w:tr w:rsidR="00755E68" w14:paraId="69749A4D"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330F8" w14:textId="77777777" w:rsidR="00755E68" w:rsidRDefault="00000000">
            <w:pPr>
              <w:spacing w:line="276" w:lineRule="auto"/>
            </w:pPr>
            <w:r>
              <w:rPr>
                <w:b/>
                <w:bCs/>
                <w:sz w:val="22"/>
                <w:szCs w:val="22"/>
              </w:rPr>
              <w:t>Etapa 4</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A8608" w14:textId="77777777" w:rsidR="00755E68" w:rsidRDefault="00000000">
            <w:pPr>
              <w:spacing w:line="276" w:lineRule="auto"/>
            </w:pPr>
            <w:r>
              <w:rPr>
                <w:sz w:val="22"/>
                <w:szCs w:val="22"/>
              </w:rPr>
              <w:t>Modelagem relacional em esquema estrela, com a tabela calendário como dimensão de tempo.</w:t>
            </w:r>
          </w:p>
        </w:tc>
      </w:tr>
      <w:tr w:rsidR="00755E68" w14:paraId="62B3718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05B0F" w14:textId="77777777" w:rsidR="00755E68" w:rsidRDefault="00000000">
            <w:pPr>
              <w:spacing w:line="276" w:lineRule="auto"/>
            </w:pPr>
            <w:r>
              <w:rPr>
                <w:b/>
                <w:bCs/>
                <w:sz w:val="22"/>
                <w:szCs w:val="22"/>
              </w:rPr>
              <w:t>Etapa 5</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2152E" w14:textId="77777777" w:rsidR="00755E68" w:rsidRDefault="00000000">
            <w:pPr>
              <w:spacing w:line="276" w:lineRule="auto"/>
            </w:pPr>
            <w:r>
              <w:rPr>
                <w:sz w:val="22"/>
                <w:szCs w:val="22"/>
              </w:rPr>
              <w:t>Cálculo dos indicadores em DAX, contemplando métricas absolutas e comparativas.</w:t>
            </w:r>
          </w:p>
        </w:tc>
      </w:tr>
      <w:tr w:rsidR="00755E68" w14:paraId="5B167204"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756DC" w14:textId="77777777" w:rsidR="00755E68" w:rsidRDefault="00000000">
            <w:pPr>
              <w:spacing w:line="276" w:lineRule="auto"/>
            </w:pPr>
            <w:r>
              <w:rPr>
                <w:b/>
                <w:bCs/>
                <w:sz w:val="22"/>
                <w:szCs w:val="22"/>
              </w:rPr>
              <w:t>Etapa 6</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BF157" w14:textId="77777777" w:rsidR="00755E68" w:rsidRDefault="00000000">
            <w:pPr>
              <w:spacing w:line="276" w:lineRule="auto"/>
            </w:pPr>
            <w:r>
              <w:rPr>
                <w:sz w:val="22"/>
                <w:szCs w:val="22"/>
              </w:rPr>
              <w:t>Construção e publicação do dashboard interativo no serviço Power BI.</w:t>
            </w:r>
          </w:p>
        </w:tc>
      </w:tr>
      <w:tr w:rsidR="00755E68" w14:paraId="70AF1215"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0F460" w14:textId="77777777" w:rsidR="00755E68" w:rsidRDefault="00000000">
            <w:pPr>
              <w:spacing w:line="276" w:lineRule="auto"/>
            </w:pPr>
            <w:r>
              <w:rPr>
                <w:b/>
                <w:bCs/>
                <w:sz w:val="22"/>
                <w:szCs w:val="22"/>
              </w:rPr>
              <w:t>Saídas</w:t>
            </w:r>
          </w:p>
        </w:tc>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BB017" w14:textId="77777777" w:rsidR="00755E68" w:rsidRDefault="00000000">
            <w:pPr>
              <w:spacing w:line="276" w:lineRule="auto"/>
            </w:pPr>
            <w:r>
              <w:rPr>
                <w:sz w:val="22"/>
                <w:szCs w:val="22"/>
              </w:rPr>
              <w:t>Painel interativo de acompanhamento de metas; medidas DAX documentadas; relatório de tratamento e modelagem reproduzível.</w:t>
            </w:r>
          </w:p>
        </w:tc>
      </w:tr>
    </w:tbl>
    <w:p w14:paraId="0755A485" w14:textId="77777777" w:rsidR="00755E68" w:rsidRDefault="00000000">
      <w:pPr>
        <w:spacing w:before="60" w:after="240"/>
        <w:jc w:val="center"/>
      </w:pPr>
      <w:r>
        <w:rPr>
          <w:i/>
          <w:iCs/>
          <w:sz w:val="20"/>
          <w:szCs w:val="20"/>
        </w:rPr>
        <w:t>Fonte: Elaborado pelo autor (2026).</w:t>
      </w:r>
    </w:p>
    <w:p w14:paraId="7B954393" w14:textId="77777777" w:rsidR="00755E68" w:rsidRDefault="00000000">
      <w:pPr>
        <w:spacing w:before="240" w:after="180" w:line="360" w:lineRule="auto"/>
      </w:pPr>
      <w:r>
        <w:rPr>
          <w:b/>
          <w:bCs/>
        </w:rPr>
        <w:t>3.5 Indicadores de Desempenho Planejados</w:t>
      </w:r>
    </w:p>
    <w:p w14:paraId="284E66A0" w14:textId="77777777" w:rsidR="00755E68" w:rsidRDefault="00000000">
      <w:pPr>
        <w:spacing w:after="120" w:line="360" w:lineRule="auto"/>
        <w:ind w:firstLine="720"/>
        <w:jc w:val="both"/>
      </w:pPr>
      <w:r>
        <w:t>O Quadro 3 apresenta os indicadores que serão calculados em DAX a partir do modelo de dados consolidado, com sua descrição, fonte e fórmula conceitual de cálculo.</w:t>
      </w:r>
    </w:p>
    <w:p w14:paraId="62C3C44A" w14:textId="77777777" w:rsidR="00755E68" w:rsidRDefault="00000000">
      <w:pPr>
        <w:spacing w:before="180" w:after="60"/>
        <w:jc w:val="center"/>
      </w:pPr>
      <w:r>
        <w:rPr>
          <w:b/>
          <w:bCs/>
        </w:rPr>
        <w:t>Quadro 3 – Indicadores de Desempenho Planejados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520"/>
        <w:gridCol w:w="1980"/>
        <w:gridCol w:w="2700"/>
      </w:tblGrid>
      <w:tr w:rsidR="00755E68" w14:paraId="75580BB8"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4E459E" w14:textId="77777777" w:rsidR="00755E68" w:rsidRDefault="00000000">
            <w:pPr>
              <w:spacing w:line="276" w:lineRule="auto"/>
              <w:jc w:val="center"/>
            </w:pPr>
            <w:r>
              <w:rPr>
                <w:b/>
                <w:bCs/>
                <w:sz w:val="22"/>
                <w:szCs w:val="22"/>
              </w:rPr>
              <w:t>Indicador</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D1861B" w14:textId="77777777" w:rsidR="00755E68" w:rsidRDefault="00000000">
            <w:pPr>
              <w:spacing w:line="276" w:lineRule="auto"/>
              <w:jc w:val="center"/>
            </w:pPr>
            <w:r>
              <w:rPr>
                <w:b/>
                <w:bCs/>
                <w:sz w:val="22"/>
                <w:szCs w:val="22"/>
              </w:rPr>
              <w:t>Descrição</w:t>
            </w:r>
          </w:p>
        </w:tc>
        <w:tc>
          <w:tcPr>
            <w:tcW w:w="19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128D22" w14:textId="77777777" w:rsidR="00755E68" w:rsidRDefault="00000000">
            <w:pPr>
              <w:spacing w:line="276" w:lineRule="auto"/>
              <w:jc w:val="center"/>
            </w:pPr>
            <w:r>
              <w:rPr>
                <w:b/>
                <w:bCs/>
                <w:sz w:val="22"/>
                <w:szCs w:val="22"/>
              </w:rPr>
              <w:t>Fonte</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BD043B" w14:textId="77777777" w:rsidR="00755E68" w:rsidRDefault="00000000">
            <w:pPr>
              <w:spacing w:line="276" w:lineRule="auto"/>
              <w:jc w:val="center"/>
            </w:pPr>
            <w:r>
              <w:rPr>
                <w:b/>
                <w:bCs/>
                <w:sz w:val="22"/>
                <w:szCs w:val="22"/>
              </w:rPr>
              <w:t>Cálculo Conceitual</w:t>
            </w:r>
          </w:p>
        </w:tc>
      </w:tr>
      <w:tr w:rsidR="00755E68" w14:paraId="69FF0FEA"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68C33" w14:textId="77777777" w:rsidR="00755E68" w:rsidRDefault="00000000">
            <w:pPr>
              <w:spacing w:line="276" w:lineRule="auto"/>
            </w:pPr>
            <w:r>
              <w:rPr>
                <w:sz w:val="22"/>
                <w:szCs w:val="22"/>
              </w:rPr>
              <w:t>Faturamento total</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D7231" w14:textId="77777777" w:rsidR="00755E68" w:rsidRDefault="00000000">
            <w:pPr>
              <w:spacing w:line="276" w:lineRule="auto"/>
            </w:pPr>
            <w:r>
              <w:rPr>
                <w:sz w:val="22"/>
                <w:szCs w:val="22"/>
              </w:rPr>
              <w:t>Receita realizada no período</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12B0B3" w14:textId="77777777" w:rsidR="00755E68" w:rsidRDefault="00000000">
            <w:pPr>
              <w:spacing w:line="276" w:lineRule="auto"/>
            </w:pPr>
            <w:r>
              <w:rPr>
                <w:sz w:val="22"/>
                <w:szCs w:val="22"/>
              </w:rPr>
              <w:t>faturamento</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16FE8" w14:textId="77777777" w:rsidR="00755E68" w:rsidRDefault="00000000">
            <w:pPr>
              <w:spacing w:line="276" w:lineRule="auto"/>
            </w:pPr>
            <w:r>
              <w:rPr>
                <w:sz w:val="22"/>
                <w:szCs w:val="22"/>
              </w:rPr>
              <w:t>Soma dos valores de cobranças pagas no período</w:t>
            </w:r>
          </w:p>
        </w:tc>
      </w:tr>
      <w:tr w:rsidR="00755E68" w14:paraId="35B35D41"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26EC7" w14:textId="77777777" w:rsidR="00755E68" w:rsidRDefault="00000000">
            <w:pPr>
              <w:spacing w:line="276" w:lineRule="auto"/>
            </w:pPr>
            <w:r>
              <w:rPr>
                <w:sz w:val="22"/>
                <w:szCs w:val="22"/>
              </w:rPr>
              <w:t>MRR (Receita Recorrente Mensal)</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0C246" w14:textId="77777777" w:rsidR="00755E68" w:rsidRDefault="00000000">
            <w:pPr>
              <w:spacing w:line="276" w:lineRule="auto"/>
            </w:pPr>
            <w:r>
              <w:rPr>
                <w:sz w:val="22"/>
                <w:szCs w:val="22"/>
              </w:rPr>
              <w:t>Receita previsível das assinaturas ativas</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9EC8C" w14:textId="77777777" w:rsidR="00755E68" w:rsidRDefault="00000000">
            <w:pPr>
              <w:spacing w:line="276" w:lineRule="auto"/>
            </w:pPr>
            <w:r>
              <w:rPr>
                <w:sz w:val="22"/>
                <w:szCs w:val="22"/>
              </w:rPr>
              <w:t>assinaturas + faturamento</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1466A9" w14:textId="77777777" w:rsidR="00755E68" w:rsidRDefault="00000000">
            <w:pPr>
              <w:spacing w:line="276" w:lineRule="auto"/>
            </w:pPr>
            <w:r>
              <w:rPr>
                <w:sz w:val="22"/>
                <w:szCs w:val="22"/>
              </w:rPr>
              <w:t>Soma do valor mensal das assinaturas ativas no fim do mês</w:t>
            </w:r>
          </w:p>
        </w:tc>
      </w:tr>
      <w:tr w:rsidR="00755E68" w14:paraId="1E8D5A72"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D43D5" w14:textId="77777777" w:rsidR="00755E68" w:rsidRDefault="00000000">
            <w:pPr>
              <w:spacing w:line="276" w:lineRule="auto"/>
            </w:pPr>
            <w:r>
              <w:rPr>
                <w:sz w:val="22"/>
                <w:szCs w:val="22"/>
              </w:rPr>
              <w:t>Ticket médio</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00537" w14:textId="77777777" w:rsidR="00755E68" w:rsidRDefault="00000000">
            <w:pPr>
              <w:spacing w:line="276" w:lineRule="auto"/>
            </w:pPr>
            <w:r>
              <w:rPr>
                <w:sz w:val="22"/>
                <w:szCs w:val="22"/>
              </w:rPr>
              <w:t>Receita média por cliente ativo</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04E9B8" w14:textId="77777777" w:rsidR="00755E68" w:rsidRDefault="00000000">
            <w:pPr>
              <w:spacing w:line="276" w:lineRule="auto"/>
            </w:pPr>
            <w:r>
              <w:rPr>
                <w:sz w:val="22"/>
                <w:szCs w:val="22"/>
              </w:rPr>
              <w:t>faturamento + assinaturas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871068" w14:textId="77777777" w:rsidR="00755E68" w:rsidRDefault="00000000">
            <w:pPr>
              <w:spacing w:line="276" w:lineRule="auto"/>
            </w:pPr>
            <w:r>
              <w:rPr>
                <w:sz w:val="22"/>
                <w:szCs w:val="22"/>
              </w:rPr>
              <w:t>Faturamento / Clientes ativos no período</w:t>
            </w:r>
          </w:p>
        </w:tc>
      </w:tr>
      <w:tr w:rsidR="00755E68" w14:paraId="438D0714"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39A36" w14:textId="77777777" w:rsidR="00755E68" w:rsidRDefault="00000000">
            <w:pPr>
              <w:spacing w:line="276" w:lineRule="auto"/>
            </w:pPr>
            <w:r>
              <w:rPr>
                <w:sz w:val="22"/>
                <w:szCs w:val="22"/>
              </w:rPr>
              <w:t>Clientes ativos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FD871" w14:textId="77777777" w:rsidR="00755E68" w:rsidRDefault="00000000">
            <w:pPr>
              <w:spacing w:line="276" w:lineRule="auto"/>
            </w:pPr>
            <w:r>
              <w:rPr>
                <w:sz w:val="22"/>
                <w:szCs w:val="22"/>
              </w:rPr>
              <w:t>Base de clientes com assinatura vigente</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F4430" w14:textId="77777777" w:rsidR="00755E68" w:rsidRDefault="00000000">
            <w:pPr>
              <w:spacing w:line="276" w:lineRule="auto"/>
            </w:pPr>
            <w:r>
              <w:rPr>
                <w:sz w:val="22"/>
                <w:szCs w:val="22"/>
              </w:rPr>
              <w:t>assinaturas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7B6CF" w14:textId="77777777" w:rsidR="00755E68" w:rsidRDefault="00000000">
            <w:pPr>
              <w:spacing w:line="276" w:lineRule="auto"/>
            </w:pPr>
            <w:r>
              <w:rPr>
                <w:sz w:val="22"/>
                <w:szCs w:val="22"/>
              </w:rPr>
              <w:t>Contagem distinta de clientes com status ativo</w:t>
            </w:r>
          </w:p>
        </w:tc>
      </w:tr>
      <w:tr w:rsidR="00755E68" w14:paraId="5D0894B9"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568FA" w14:textId="77777777" w:rsidR="00755E68" w:rsidRDefault="00000000">
            <w:pPr>
              <w:spacing w:line="276" w:lineRule="auto"/>
            </w:pPr>
            <w:r>
              <w:rPr>
                <w:sz w:val="22"/>
                <w:szCs w:val="22"/>
              </w:rPr>
              <w:lastRenderedPageBreak/>
              <w:t>Novas assinaturas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90913" w14:textId="77777777" w:rsidR="00755E68" w:rsidRDefault="00000000">
            <w:pPr>
              <w:spacing w:line="276" w:lineRule="auto"/>
            </w:pPr>
            <w:r>
              <w:rPr>
                <w:sz w:val="22"/>
                <w:szCs w:val="22"/>
              </w:rPr>
              <w:t>Volume de aquisições no período</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CDF7F8" w14:textId="77777777" w:rsidR="00755E68" w:rsidRDefault="00000000">
            <w:pPr>
              <w:spacing w:line="276" w:lineRule="auto"/>
            </w:pPr>
            <w:r>
              <w:rPr>
                <w:sz w:val="22"/>
                <w:szCs w:val="22"/>
              </w:rPr>
              <w:t>logs de assinaturas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EA550" w14:textId="77777777" w:rsidR="00755E68" w:rsidRDefault="00000000">
            <w:pPr>
              <w:spacing w:line="276" w:lineRule="auto"/>
            </w:pPr>
            <w:r>
              <w:rPr>
                <w:sz w:val="22"/>
                <w:szCs w:val="22"/>
              </w:rPr>
              <w:t>Contagem de eventos de ativação no mês</w:t>
            </w:r>
          </w:p>
        </w:tc>
      </w:tr>
      <w:tr w:rsidR="00755E68" w14:paraId="4E7828C3"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E72EC" w14:textId="77777777" w:rsidR="00755E68" w:rsidRDefault="00000000">
            <w:pPr>
              <w:spacing w:line="276" w:lineRule="auto"/>
            </w:pPr>
            <w:r>
              <w:rPr>
                <w:sz w:val="22"/>
                <w:szCs w:val="22"/>
              </w:rPr>
              <w:t>Churn rate</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B88EC" w14:textId="77777777" w:rsidR="00755E68" w:rsidRDefault="00000000">
            <w:pPr>
              <w:spacing w:line="276" w:lineRule="auto"/>
            </w:pPr>
            <w:r>
              <w:rPr>
                <w:sz w:val="22"/>
                <w:szCs w:val="22"/>
              </w:rPr>
              <w:t>Taxa de cancelamento mensal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0A09F" w14:textId="77777777" w:rsidR="00755E68" w:rsidRDefault="00000000">
            <w:pPr>
              <w:spacing w:line="276" w:lineRule="auto"/>
            </w:pPr>
            <w:r>
              <w:rPr>
                <w:sz w:val="22"/>
                <w:szCs w:val="22"/>
              </w:rPr>
              <w:t>logs de assinaturas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EDA44" w14:textId="77777777" w:rsidR="00755E68" w:rsidRDefault="00000000">
            <w:pPr>
              <w:spacing w:line="276" w:lineRule="auto"/>
            </w:pPr>
            <w:r>
              <w:rPr>
                <w:sz w:val="22"/>
                <w:szCs w:val="22"/>
              </w:rPr>
              <w:t>Cancelamentos no mês / Base ativa no início do mês × 100</w:t>
            </w:r>
          </w:p>
        </w:tc>
      </w:tr>
      <w:tr w:rsidR="00755E68" w14:paraId="056D8048"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0944F" w14:textId="77777777" w:rsidR="00755E68" w:rsidRDefault="00000000">
            <w:pPr>
              <w:spacing w:line="276" w:lineRule="auto"/>
            </w:pPr>
            <w:r>
              <w:rPr>
                <w:sz w:val="22"/>
                <w:szCs w:val="22"/>
              </w:rPr>
              <w:t>Atingimento de meta</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681E0" w14:textId="77777777" w:rsidR="00755E68" w:rsidRDefault="00000000">
            <w:pPr>
              <w:spacing w:line="276" w:lineRule="auto"/>
            </w:pPr>
            <w:r>
              <w:rPr>
                <w:sz w:val="22"/>
                <w:szCs w:val="22"/>
              </w:rPr>
              <w:t>Percentual de cumprimento da meta</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14CDC" w14:textId="77777777" w:rsidR="00755E68" w:rsidRDefault="00000000">
            <w:pPr>
              <w:spacing w:line="276" w:lineRule="auto"/>
            </w:pPr>
            <w:r>
              <w:rPr>
                <w:sz w:val="22"/>
                <w:szCs w:val="22"/>
              </w:rPr>
              <w:t>metas + faturamento</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DE6FA3" w14:textId="77777777" w:rsidR="00755E68" w:rsidRDefault="00000000">
            <w:pPr>
              <w:spacing w:line="276" w:lineRule="auto"/>
            </w:pPr>
            <w:r>
              <w:rPr>
                <w:sz w:val="22"/>
                <w:szCs w:val="22"/>
              </w:rPr>
              <w:t>Realizado / Meta × 100</w:t>
            </w:r>
          </w:p>
        </w:tc>
      </w:tr>
      <w:tr w:rsidR="00755E68" w14:paraId="5B0FF426"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F093F" w14:textId="77777777" w:rsidR="00755E68" w:rsidRDefault="00000000">
            <w:pPr>
              <w:spacing w:line="276" w:lineRule="auto"/>
            </w:pPr>
            <w:r>
              <w:rPr>
                <w:sz w:val="22"/>
                <w:szCs w:val="22"/>
              </w:rPr>
              <w:t>Fazendas cadastradas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28D7B" w14:textId="77777777" w:rsidR="00755E68" w:rsidRDefault="00000000">
            <w:pPr>
              <w:spacing w:line="276" w:lineRule="auto"/>
            </w:pPr>
            <w:r>
              <w:rPr>
                <w:sz w:val="22"/>
                <w:szCs w:val="22"/>
              </w:rPr>
              <w:t>Engajamento operacional</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A681F" w14:textId="77777777" w:rsidR="00755E68" w:rsidRDefault="00000000">
            <w:pPr>
              <w:spacing w:line="276" w:lineRule="auto"/>
            </w:pPr>
            <w:r>
              <w:rPr>
                <w:sz w:val="22"/>
                <w:szCs w:val="22"/>
              </w:rPr>
              <w:t>fazendas</w:t>
            </w:r>
          </w:p>
        </w:tc>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94F31" w14:textId="77777777" w:rsidR="00755E68" w:rsidRDefault="00000000">
            <w:pPr>
              <w:spacing w:line="276" w:lineRule="auto"/>
            </w:pPr>
            <w:r>
              <w:rPr>
                <w:sz w:val="22"/>
                <w:szCs w:val="22"/>
              </w:rPr>
              <w:t>Contagem de fazendas vinculadas a clientes ativos</w:t>
            </w:r>
          </w:p>
        </w:tc>
      </w:tr>
    </w:tbl>
    <w:p w14:paraId="0E163E7C" w14:textId="77777777" w:rsidR="00755E68" w:rsidRDefault="00000000">
      <w:pPr>
        <w:spacing w:before="60" w:after="240"/>
        <w:jc w:val="center"/>
      </w:pPr>
      <w:r>
        <w:rPr>
          <w:i/>
          <w:iCs/>
          <w:sz w:val="20"/>
          <w:szCs w:val="20"/>
        </w:rPr>
        <w:t>Fonte: Elaborado pelo autor (2026).</w:t>
      </w:r>
    </w:p>
    <w:p w14:paraId="0667C503" w14:textId="77777777" w:rsidR="00755E68" w:rsidRDefault="00000000">
      <w:pPr>
        <w:spacing w:before="360" w:after="240" w:line="360" w:lineRule="auto"/>
      </w:pPr>
      <w:r>
        <w:rPr>
          <w:b/>
          <w:bCs/>
        </w:rPr>
        <w:t>4. CONSIDERAÇÕES FINAIS</w:t>
      </w:r>
    </w:p>
    <w:p w14:paraId="55FDACC6" w14:textId="77777777" w:rsidR="00755E68" w:rsidRDefault="00000000">
      <w:pPr>
        <w:spacing w:after="120" w:line="360" w:lineRule="auto"/>
        <w:ind w:firstLine="720"/>
        <w:jc w:val="both"/>
      </w:pPr>
      <w:r>
        <w:t>A fundamentação teórica apresentada neste trabalho demonstra que o acesso estruturado a dados transacionais — mesmo quando intermediado por uma plataforma BaaS como o Supabase — é condição necessária para o exercício da autonomia analítica do engenheiro de produção em empresas de tecnologia. A definição de um Procedimento Operacional Padrão para esse processo elimina a variabilidade na conexão, tratamento e modelagem dos dados, garantindo que os indicadores entregues à gestão sejam consistentes, rastreáveis e reprodutíveis.</w:t>
      </w:r>
    </w:p>
    <w:p w14:paraId="7FDA19F8" w14:textId="77777777" w:rsidR="00755E68" w:rsidRDefault="00000000">
      <w:pPr>
        <w:spacing w:after="120" w:line="360" w:lineRule="auto"/>
        <w:ind w:firstLine="720"/>
        <w:jc w:val="both"/>
      </w:pPr>
      <w:r>
        <w:t>A escolha do par PostgreSQL + Power BI reflete duas decisões arquiteturais alinhadas com a realidade da Rural Data: a preservação do modelo relacional como espinha dorsal transacional, beneficiada pela maturidade do PostgreSQL hospedado no Supabase; e a adoção de uma camada analítica desacoplada, na qual o Power BI assume a responsabilidade pela transformação, modelagem e visualização sem impactar a operação do banco. A separação entre Power Query, modelo e DAX, conforme os princípios da Clean Architecture, garante que evoluções futuras na origem dos dados — como uma eventual migração para data warehouse — exijam ajuste apenas da camada de ingestão.</w:t>
      </w:r>
    </w:p>
    <w:p w14:paraId="6D232A77" w14:textId="77777777" w:rsidR="00755E68" w:rsidRDefault="00000000">
      <w:pPr>
        <w:spacing w:after="120" w:line="360" w:lineRule="auto"/>
        <w:ind w:firstLine="720"/>
        <w:jc w:val="both"/>
      </w:pPr>
      <w:r>
        <w:t>Espera-se que a execução do POP sobre os dados reais da Rural Data resulte em um painel interativo de acompanhamento de metas que materialize, na prática, o ciclo dado → informação → conhecimento → decisão. Ao automatizar a leitura recorrente dos indicadores comerciais, o procedimento libera a gestão de tarefas analíticas manuais e a desloca para a interpretação dos resultados e a tomada de decisão sobre o portfólio de produtos e ações comerciais do Nettão, evidenciando o papel da Engenharia de Produção como articuladora entre tecnologia, dados e estratégia organizacional.</w:t>
      </w:r>
    </w:p>
    <w:p w14:paraId="7920FC4E" w14:textId="77777777" w:rsidR="00755E68" w:rsidRPr="00697A8B" w:rsidRDefault="00000000">
      <w:pPr>
        <w:spacing w:before="360" w:after="240" w:line="360" w:lineRule="auto"/>
        <w:rPr>
          <w:lang w:val="en-US"/>
        </w:rPr>
      </w:pPr>
      <w:r w:rsidRPr="00697A8B">
        <w:rPr>
          <w:b/>
          <w:bCs/>
          <w:lang w:val="en-US"/>
        </w:rPr>
        <w:lastRenderedPageBreak/>
        <w:t>REFERÊNCIAS</w:t>
      </w:r>
    </w:p>
    <w:p w14:paraId="017C3DE4" w14:textId="77777777" w:rsidR="00755E68" w:rsidRDefault="00000000">
      <w:pPr>
        <w:spacing w:after="180" w:line="276" w:lineRule="auto"/>
        <w:jc w:val="both"/>
      </w:pPr>
      <w:r w:rsidRPr="00697A8B">
        <w:rPr>
          <w:lang w:val="en-US"/>
        </w:rPr>
        <w:t xml:space="preserve">CODD, E. F. A relational model of data for </w:t>
      </w:r>
      <w:proofErr w:type="gramStart"/>
      <w:r w:rsidRPr="00697A8B">
        <w:rPr>
          <w:lang w:val="en-US"/>
        </w:rPr>
        <w:t>large shared</w:t>
      </w:r>
      <w:proofErr w:type="gramEnd"/>
      <w:r w:rsidRPr="00697A8B">
        <w:rPr>
          <w:lang w:val="en-US"/>
        </w:rPr>
        <w:t xml:space="preserve"> data banks. </w:t>
      </w:r>
      <w:r>
        <w:t>Communications of the ACM, v. 13, n. 6, p. 377–387, 1970.</w:t>
      </w:r>
    </w:p>
    <w:p w14:paraId="165F098E" w14:textId="77777777" w:rsidR="00755E68" w:rsidRDefault="00000000">
      <w:pPr>
        <w:spacing w:after="180" w:line="276" w:lineRule="auto"/>
        <w:jc w:val="both"/>
      </w:pPr>
      <w:r>
        <w:t>DATE, C. J. Introdução a sistemas de bancos de dados. 8. ed. Rio de Janeiro: Elsevier, 2004.</w:t>
      </w:r>
    </w:p>
    <w:p w14:paraId="56FE4921" w14:textId="77777777" w:rsidR="00755E68" w:rsidRPr="00697A8B" w:rsidRDefault="00000000">
      <w:pPr>
        <w:spacing w:after="180" w:line="276" w:lineRule="auto"/>
        <w:jc w:val="both"/>
        <w:rPr>
          <w:lang w:val="en-US"/>
        </w:rPr>
      </w:pPr>
      <w:r w:rsidRPr="00697A8B">
        <w:rPr>
          <w:lang w:val="en-US"/>
        </w:rPr>
        <w:t>DAVENPORT, T. H.; PRUSAK, L. Working knowledge: how organizations manage what they know. Boston: Harvard Business School Press, 1998.</w:t>
      </w:r>
    </w:p>
    <w:p w14:paraId="74485356" w14:textId="77777777" w:rsidR="00755E68" w:rsidRPr="00697A8B" w:rsidRDefault="00000000">
      <w:pPr>
        <w:spacing w:after="180" w:line="276" w:lineRule="auto"/>
        <w:jc w:val="both"/>
        <w:rPr>
          <w:lang w:val="en-US"/>
        </w:rPr>
      </w:pPr>
      <w:r w:rsidRPr="00697A8B">
        <w:rPr>
          <w:lang w:val="en-US"/>
        </w:rPr>
        <w:t>ELMASRI, R.; NAVATHE, S. B. Sistemas de banco de dados. 7. ed. São Paulo: Pearson, 2018.</w:t>
      </w:r>
    </w:p>
    <w:p w14:paraId="15B1F265" w14:textId="77777777" w:rsidR="00755E68" w:rsidRPr="00697A8B" w:rsidRDefault="00000000">
      <w:pPr>
        <w:spacing w:after="180" w:line="276" w:lineRule="auto"/>
        <w:jc w:val="both"/>
        <w:rPr>
          <w:lang w:val="en-US"/>
        </w:rPr>
      </w:pPr>
      <w:r w:rsidRPr="00697A8B">
        <w:rPr>
          <w:lang w:val="en-US"/>
        </w:rPr>
        <w:t>FOWLER, M.; SADALAGE, P. J. NoSQL distilled: a brief guide to the emerging world of polyglot persistence. Upper Saddle River: Addison-Wesley, 2013.</w:t>
      </w:r>
    </w:p>
    <w:p w14:paraId="66ACD2BF" w14:textId="77777777" w:rsidR="00755E68" w:rsidRDefault="00000000">
      <w:pPr>
        <w:spacing w:after="180" w:line="276" w:lineRule="auto"/>
        <w:jc w:val="both"/>
      </w:pPr>
      <w:r w:rsidRPr="00697A8B">
        <w:rPr>
          <w:lang w:val="en-US"/>
        </w:rPr>
        <w:t xml:space="preserve">KIMBALL, R.; ROSS, M. The data warehouse toolkit: the definitive guide to dimensional modeling. </w:t>
      </w:r>
      <w:r>
        <w:t>3. ed. Indianapolis: Wiley, 2013.</w:t>
      </w:r>
    </w:p>
    <w:p w14:paraId="0F1DE339" w14:textId="77777777" w:rsidR="00755E68" w:rsidRDefault="00000000">
      <w:pPr>
        <w:spacing w:after="180" w:line="276" w:lineRule="auto"/>
        <w:jc w:val="both"/>
      </w:pPr>
      <w:r>
        <w:t>LAUDON, K. C.; LAUDON, J. P. Sistemas de informação gerenciais. 14. ed. São Paulo: Pearson, 2021.</w:t>
      </w:r>
    </w:p>
    <w:p w14:paraId="08A2C286" w14:textId="77777777" w:rsidR="00755E68" w:rsidRDefault="00000000">
      <w:pPr>
        <w:spacing w:after="180" w:line="276" w:lineRule="auto"/>
        <w:jc w:val="both"/>
      </w:pPr>
      <w:r w:rsidRPr="00697A8B">
        <w:rPr>
          <w:lang w:val="en-US"/>
        </w:rPr>
        <w:t xml:space="preserve">MARTIN, R. C. Clean architecture: a craftsman's guide to software structure and design. </w:t>
      </w:r>
      <w:r>
        <w:t>Upper Saddle River: Prentice Hall, 2017.</w:t>
      </w:r>
    </w:p>
    <w:p w14:paraId="670D46B9" w14:textId="77777777" w:rsidR="00755E68" w:rsidRDefault="00000000">
      <w:pPr>
        <w:spacing w:after="180" w:line="276" w:lineRule="auto"/>
        <w:jc w:val="both"/>
      </w:pPr>
      <w:r>
        <w:t>MICROSOFT. Documentação do Power BI. Redmond: Microsoft, 2024. Disponível em: https://learn.microsoft.com/pt-br/power-bi/. Acesso em: maio 2026.</w:t>
      </w:r>
    </w:p>
    <w:p w14:paraId="035F2251" w14:textId="77777777" w:rsidR="00755E68" w:rsidRPr="00697A8B" w:rsidRDefault="00000000">
      <w:pPr>
        <w:spacing w:after="180" w:line="276" w:lineRule="auto"/>
        <w:jc w:val="both"/>
        <w:rPr>
          <w:lang w:val="en-US"/>
        </w:rPr>
      </w:pPr>
      <w:r>
        <w:t xml:space="preserve">O'BRIEN, J. A.; MARAKAS, G. M. Administração de sistemas de informação. </w:t>
      </w:r>
      <w:r w:rsidRPr="00697A8B">
        <w:rPr>
          <w:lang w:val="en-US"/>
        </w:rPr>
        <w:t>15. ed. Porto Alegre: AMGH, 2013.</w:t>
      </w:r>
    </w:p>
    <w:p w14:paraId="73B4419C" w14:textId="77777777" w:rsidR="00755E68" w:rsidRPr="00697A8B" w:rsidRDefault="00000000">
      <w:pPr>
        <w:spacing w:after="180" w:line="276" w:lineRule="auto"/>
        <w:jc w:val="both"/>
        <w:rPr>
          <w:lang w:val="en-US"/>
        </w:rPr>
      </w:pPr>
      <w:r w:rsidRPr="00697A8B">
        <w:rPr>
          <w:lang w:val="en-US"/>
        </w:rPr>
        <w:t>PARMENTER, D. Key performance indicators: developing, implementing, and using winning KPIs. 4. ed. Hoboken: Wiley, 2020.</w:t>
      </w:r>
    </w:p>
    <w:p w14:paraId="6545E2C0" w14:textId="77777777" w:rsidR="00755E68" w:rsidRDefault="00000000">
      <w:pPr>
        <w:spacing w:after="180" w:line="276" w:lineRule="auto"/>
        <w:jc w:val="both"/>
      </w:pPr>
      <w:r w:rsidRPr="00697A8B">
        <w:rPr>
          <w:lang w:val="en-US"/>
        </w:rPr>
        <w:t xml:space="preserve">POSTGRESQL GLOBAL DEVELOPMENT GROUP. PostgreSQL 16 Documentation. 2024. </w:t>
      </w:r>
      <w:proofErr w:type="spellStart"/>
      <w:r w:rsidRPr="00697A8B">
        <w:rPr>
          <w:lang w:val="en-US"/>
        </w:rPr>
        <w:t>Disponível</w:t>
      </w:r>
      <w:proofErr w:type="spellEnd"/>
      <w:r w:rsidRPr="00697A8B">
        <w:rPr>
          <w:lang w:val="en-US"/>
        </w:rPr>
        <w:t xml:space="preserve"> </w:t>
      </w:r>
      <w:proofErr w:type="spellStart"/>
      <w:r w:rsidRPr="00697A8B">
        <w:rPr>
          <w:lang w:val="en-US"/>
        </w:rPr>
        <w:t>em</w:t>
      </w:r>
      <w:proofErr w:type="spellEnd"/>
      <w:r w:rsidRPr="00697A8B">
        <w:rPr>
          <w:lang w:val="en-US"/>
        </w:rPr>
        <w:t xml:space="preserve">: https://www.postgresql.org/docs/. </w:t>
      </w:r>
      <w:r>
        <w:t>Acesso em: maio 2026.</w:t>
      </w:r>
    </w:p>
    <w:p w14:paraId="4518BAF0" w14:textId="77777777" w:rsidR="00755E68" w:rsidRDefault="00000000">
      <w:pPr>
        <w:spacing w:after="180" w:line="276" w:lineRule="auto"/>
        <w:jc w:val="both"/>
      </w:pPr>
      <w:r>
        <w:t>SHARDA, R.; DELEN, D.; TURBAN, E. Business intelligence e análise de dados para gestão do negócio. 4. ed. Porto Alegre: Bookman, 2019.</w:t>
      </w:r>
    </w:p>
    <w:p w14:paraId="60C86533" w14:textId="77777777" w:rsidR="00755E68" w:rsidRDefault="00000000">
      <w:pPr>
        <w:spacing w:after="180" w:line="276" w:lineRule="auto"/>
        <w:jc w:val="both"/>
      </w:pPr>
      <w:r>
        <w:t>STAIR, R. M.; REYNOLDS, G. W. Princípios de sistemas de informação. 11. ed. São Paulo: Cengage Learning, 2018.</w:t>
      </w:r>
    </w:p>
    <w:p w14:paraId="02DF3178" w14:textId="77777777" w:rsidR="00755E68" w:rsidRDefault="00000000">
      <w:pPr>
        <w:spacing w:after="180" w:line="276" w:lineRule="auto"/>
        <w:jc w:val="both"/>
      </w:pPr>
      <w:r>
        <w:t>SUPABASE. Supabase Documentation. 2024. Disponível em: https://supabase.com/docs. Acesso em: maio 2026.</w:t>
      </w:r>
    </w:p>
    <w:sectPr w:rsidR="00755E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A821D8"/>
    <w:multiLevelType w:val="hybridMultilevel"/>
    <w:tmpl w:val="F2F8AC4E"/>
    <w:lvl w:ilvl="0" w:tplc="D45C89DC">
      <w:start w:val="1"/>
      <w:numFmt w:val="bullet"/>
      <w:lvlText w:val="●"/>
      <w:lvlJc w:val="left"/>
      <w:pPr>
        <w:ind w:left="720" w:hanging="360"/>
      </w:pPr>
    </w:lvl>
    <w:lvl w:ilvl="1" w:tplc="5CAC9848">
      <w:start w:val="1"/>
      <w:numFmt w:val="bullet"/>
      <w:lvlText w:val="○"/>
      <w:lvlJc w:val="left"/>
      <w:pPr>
        <w:ind w:left="1440" w:hanging="360"/>
      </w:pPr>
    </w:lvl>
    <w:lvl w:ilvl="2" w:tplc="7DB2BCDE">
      <w:start w:val="1"/>
      <w:numFmt w:val="bullet"/>
      <w:lvlText w:val="■"/>
      <w:lvlJc w:val="left"/>
      <w:pPr>
        <w:ind w:left="2160" w:hanging="360"/>
      </w:pPr>
    </w:lvl>
    <w:lvl w:ilvl="3" w:tplc="20ACD4A4">
      <w:start w:val="1"/>
      <w:numFmt w:val="bullet"/>
      <w:lvlText w:val="●"/>
      <w:lvlJc w:val="left"/>
      <w:pPr>
        <w:ind w:left="2880" w:hanging="360"/>
      </w:pPr>
    </w:lvl>
    <w:lvl w:ilvl="4" w:tplc="4BEE632C">
      <w:start w:val="1"/>
      <w:numFmt w:val="bullet"/>
      <w:lvlText w:val="○"/>
      <w:lvlJc w:val="left"/>
      <w:pPr>
        <w:ind w:left="3600" w:hanging="360"/>
      </w:pPr>
    </w:lvl>
    <w:lvl w:ilvl="5" w:tplc="259065EA">
      <w:start w:val="1"/>
      <w:numFmt w:val="bullet"/>
      <w:lvlText w:val="■"/>
      <w:lvlJc w:val="left"/>
      <w:pPr>
        <w:ind w:left="4320" w:hanging="360"/>
      </w:pPr>
    </w:lvl>
    <w:lvl w:ilvl="6" w:tplc="5EF413DA">
      <w:start w:val="1"/>
      <w:numFmt w:val="bullet"/>
      <w:lvlText w:val="●"/>
      <w:lvlJc w:val="left"/>
      <w:pPr>
        <w:ind w:left="5040" w:hanging="360"/>
      </w:pPr>
    </w:lvl>
    <w:lvl w:ilvl="7" w:tplc="ED2A266E">
      <w:start w:val="1"/>
      <w:numFmt w:val="bullet"/>
      <w:lvlText w:val="●"/>
      <w:lvlJc w:val="left"/>
      <w:pPr>
        <w:ind w:left="5760" w:hanging="360"/>
      </w:pPr>
    </w:lvl>
    <w:lvl w:ilvl="8" w:tplc="CC00D174">
      <w:start w:val="1"/>
      <w:numFmt w:val="bullet"/>
      <w:lvlText w:val="●"/>
      <w:lvlJc w:val="left"/>
      <w:pPr>
        <w:ind w:left="6480" w:hanging="360"/>
      </w:pPr>
    </w:lvl>
  </w:abstractNum>
  <w:abstractNum w:abstractNumId="1" w15:restartNumberingAfterBreak="0">
    <w:nsid w:val="7EFA10F9"/>
    <w:multiLevelType w:val="hybridMultilevel"/>
    <w:tmpl w:val="BEE8751C"/>
    <w:lvl w:ilvl="0" w:tplc="52FE4AF4">
      <w:start w:val="1"/>
      <w:numFmt w:val="bullet"/>
      <w:lvlText w:val="•"/>
      <w:lvlJc w:val="left"/>
      <w:pPr>
        <w:ind w:left="720" w:hanging="360"/>
      </w:pPr>
    </w:lvl>
    <w:lvl w:ilvl="1" w:tplc="EBFA55C2">
      <w:numFmt w:val="decimal"/>
      <w:lvlText w:val=""/>
      <w:lvlJc w:val="left"/>
    </w:lvl>
    <w:lvl w:ilvl="2" w:tplc="52B66750">
      <w:numFmt w:val="decimal"/>
      <w:lvlText w:val=""/>
      <w:lvlJc w:val="left"/>
    </w:lvl>
    <w:lvl w:ilvl="3" w:tplc="C4C080AE">
      <w:numFmt w:val="decimal"/>
      <w:lvlText w:val=""/>
      <w:lvlJc w:val="left"/>
    </w:lvl>
    <w:lvl w:ilvl="4" w:tplc="0ACED316">
      <w:numFmt w:val="decimal"/>
      <w:lvlText w:val=""/>
      <w:lvlJc w:val="left"/>
    </w:lvl>
    <w:lvl w:ilvl="5" w:tplc="99283950">
      <w:numFmt w:val="decimal"/>
      <w:lvlText w:val=""/>
      <w:lvlJc w:val="left"/>
    </w:lvl>
    <w:lvl w:ilvl="6" w:tplc="1BDAC154">
      <w:numFmt w:val="decimal"/>
      <w:lvlText w:val=""/>
      <w:lvlJc w:val="left"/>
    </w:lvl>
    <w:lvl w:ilvl="7" w:tplc="39C23848">
      <w:numFmt w:val="decimal"/>
      <w:lvlText w:val=""/>
      <w:lvlJc w:val="left"/>
    </w:lvl>
    <w:lvl w:ilvl="8" w:tplc="94449E92">
      <w:numFmt w:val="decimal"/>
      <w:lvlText w:val=""/>
      <w:lvlJc w:val="left"/>
    </w:lvl>
  </w:abstractNum>
  <w:num w:numId="1" w16cid:durableId="1989163967">
    <w:abstractNumId w:val="0"/>
    <w:lvlOverride w:ilvl="0">
      <w:startOverride w:val="1"/>
    </w:lvlOverride>
  </w:num>
  <w:num w:numId="2" w16cid:durableId="659582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E68"/>
    <w:rsid w:val="005C1CD9"/>
    <w:rsid w:val="0061527F"/>
    <w:rsid w:val="00697A8B"/>
    <w:rsid w:val="00755E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D311"/>
  <w15:docId w15:val="{1C9A59FE-9229-4FCA-B1FE-B750C87F9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3821</Words>
  <Characters>22508</Characters>
  <Application>Microsoft Office Word</Application>
  <DocSecurity>0</DocSecurity>
  <Lines>459</Lines>
  <Paragraphs>208</Paragraphs>
  <ScaleCrop>false</ScaleCrop>
  <Company/>
  <LinksUpToDate>false</LinksUpToDate>
  <CharactersWithSpaces>26121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Suporte - Rural Data</cp:lastModifiedBy>
  <cp:revision>2</cp:revision>
  <dcterms:created xsi:type="dcterms:W3CDTF">2026-05-12T18:49:00Z</dcterms:created>
  <dcterms:modified xsi:type="dcterms:W3CDTF">2026-05-12T18:49:00Z</dcterms:modified>
</cp:coreProperties>
</file>