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3968.503937007874" w:firstLine="0"/>
        <w:jc w:val="both"/>
        <w:rPr/>
      </w:pPr>
      <w:r w:rsidDel="00000000" w:rsidR="00000000" w:rsidRPr="00000000">
        <w:rPr>
          <w:rtl w:val="0"/>
        </w:rPr>
        <w:t xml:space="preserve">POP para Acesso a Dados em Engenharia de Produção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275" w:lineRule="auto"/>
        <w:ind w:left="3968.503937007874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Lavínia Mosquem Padilha da Silva (UFG)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Rule="auto"/>
        <w:ind w:left="3968.503937007874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Odilon Ribeiro Pimentel (UFG)</w:t>
      </w:r>
    </w:p>
    <w:p w:rsidR="00000000" w:rsidDel="00000000" w:rsidP="00000000" w:rsidRDefault="00000000" w:rsidRPr="00000000" w14:paraId="00000007">
      <w:pPr>
        <w:spacing w:before="0" w:lineRule="auto"/>
        <w:ind w:left="3968.503937007874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3091" w:right="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Este trabalho analisa a importância do acesso direto a bancos de dados pelo Engenheiro de Produção como fator estratégico para a tomada de decisão em ambientes orientados por dados. Discute-se como a dependência exclusiva de relatórios e dashboards limita a autonomia analítica, reduz a granularidade das informações e compromete a agilidade decisória. A pesquisa fundamenta-se em conceitos de Sistemas de Informação Gerencial, arquitetura de software e bancos de dados relacionais e não relacionais. Metodologicamente, propõe-se a extração e análise de dados operacionais em ambiente corporativo utilizando Databricks, SQL e Python para geração de indicadores logísticos. Conclui-se que o acesso direto ao banco de dados amplia a autonomia analítica do Engenheiro de Produção, melhora a qualidade das análises e fortalece sua atuação estratégica nas organizações. </w:t>
      </w:r>
    </w:p>
    <w:p w:rsidR="00000000" w:rsidDel="00000000" w:rsidP="00000000" w:rsidRDefault="00000000" w:rsidRPr="00000000" w14:paraId="0000000D">
      <w:pPr>
        <w:spacing w:before="0" w:lineRule="auto"/>
        <w:ind w:left="3091" w:right="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3091" w:right="0" w:firstLine="0"/>
        <w:jc w:val="both"/>
        <w:rPr>
          <w:i w:val="1"/>
          <w:iCs w:val="1"/>
          <w:sz w:val="24"/>
          <w:szCs w:val="24"/>
        </w:rPr>
        <w:sectPr>
          <w:headerReference r:id="rId7" w:type="default"/>
          <w:footerReference r:id="rId8" w:type="default"/>
          <w:pgSz w:h="16840" w:w="11920" w:orient="portrait"/>
          <w:pgMar w:bottom="1240" w:top="1620" w:left="1700" w:right="1133" w:header="700" w:footer="1046"/>
          <w:pgNumType w:start="1"/>
        </w:sect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Palavras-chave: Banco de Dados, Engenharia de Produção, Sistemas de Informação.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tabs>
          <w:tab w:val="left" w:leader="none" w:pos="241"/>
        </w:tabs>
        <w:spacing w:after="0" w:before="0" w:line="240" w:lineRule="auto"/>
        <w:ind w:left="241" w:right="0" w:hanging="240"/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Introdução</w:t>
      </w:r>
    </w:p>
    <w:p w:rsidR="00000000" w:rsidDel="00000000" w:rsidP="00000000" w:rsidRDefault="00000000" w:rsidRPr="00000000" w14:paraId="00000011">
      <w:pPr>
        <w:tabs>
          <w:tab w:val="left" w:leader="none" w:pos="24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atuação do Engenheiro de Produção está diretamente relacionada à tomada de decisão em sistemas complexos (ABEPRO, 2018). Em termos conceituais, decidir implica transformar dados brutos em informação e, posteriormente, em conhecimento aplicável — ciclo que depende fundamentalmente da qualidade e da fidedignidade das informações utilizadas (DAVENPORT; PRUSAK, 1998; SIMON, 1996). No contexto da Indústria 4.0, caracterizada pela integração entre sistemas físicos e digitais, IoT e big data, emerge a necessidade de autonomia analítica do engenheiro: a capacidade de acessar, manipular e interpretar dados sem dependência excessiva de intermediários organizacionais (SCHWAB, 2016; KAGERMANN; WAHLSTER; HELBIG, 2013).</w:t>
      </w:r>
    </w:p>
    <w:p w:rsidR="00000000" w:rsidDel="00000000" w:rsidP="00000000" w:rsidRDefault="00000000" w:rsidRPr="00000000" w14:paraId="00000013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prática, entretanto, os dados raramente chegam ao engenheiro em estado bruto. Eles percorrem camadas intermediárias — relatórios, dashboards e planilhas — que introduzem três problemas fundamentais: filtragem prévia das variáveis, limitando o escopo analítico; defasagem temporal, pois relatórios representam o passado e não o estado atual do sistema; e agregação excessiva, resultando em perda de granularidade (KIMBALL; ROSS, 2013; INMON, 2005). Somado a isso, a dependência de TI para extração de dados cria um gargalo operacional: cada nova pergunta exige um novo ciclo de solicitação, reduzindo a agilidade decisória (SLACK; CHAMBERS; JOHNSTON, 2009).</w:t>
      </w:r>
    </w:p>
    <w:p w:rsidR="00000000" w:rsidDel="00000000" w:rsidP="00000000" w:rsidRDefault="00000000" w:rsidRPr="00000000" w14:paraId="00000014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acesso direto ao banco de dados reposiciona o engenheiro dentro do sistema decisório. O banco de dados é a fonte primária da verdade operacional — onde os dados são armazenados com integridade, rastreabilidade e atualidade (DATE, 2004; ELMASRI; NAVATHE, 2016). Ao operar diretamente sobre essa fonte, o EP controla o nível de detalhe da análise, garante a atualidade das informações e reduz dependências organizacionais. O argumento central deste trabalho é que o engenheiro que depende exclusivamente de relatórios possui autonomia analítica limitada, ao passo que aquele que acessa diretamente o banco de dados detém maior controle sobre a qualidade e integridade das informações (TURBAN; SHARDA; DELEN, 2014; MCAFEE; BRYNJOLFSSON, 2012). Em um ambiente competitivo orientado por dados, essa diferença não é apenas técnica — é estratégica.</w:t>
      </w:r>
    </w:p>
    <w:p w:rsidR="00000000" w:rsidDel="00000000" w:rsidP="00000000" w:rsidRDefault="00000000" w:rsidRPr="00000000" w14:paraId="00000015">
      <w:pPr>
        <w:tabs>
          <w:tab w:val="left" w:leader="none" w:pos="241"/>
        </w:tabs>
        <w:ind w:left="24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1"/>
        </w:numPr>
        <w:tabs>
          <w:tab w:val="left" w:leader="none" w:pos="241"/>
        </w:tabs>
        <w:spacing w:after="0" w:before="0" w:line="240" w:lineRule="auto"/>
        <w:ind w:left="241" w:right="0" w:hanging="240"/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Revisão Bibliográfica</w:t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tabs>
          <w:tab w:val="left" w:leader="none" w:pos="241"/>
        </w:tabs>
        <w:spacing w:line="360" w:lineRule="auto"/>
        <w:jc w:val="both"/>
        <w:rPr>
          <w:sz w:val="24"/>
          <w:szCs w:val="24"/>
        </w:rPr>
      </w:pPr>
      <w:bookmarkStart w:colFirst="0" w:colLast="0" w:name="_heading=h.54wq2n4twieh" w:id="0"/>
      <w:bookmarkEnd w:id="0"/>
      <w:r w:rsidDel="00000000" w:rsidR="00000000" w:rsidRPr="00000000">
        <w:rPr>
          <w:sz w:val="24"/>
          <w:szCs w:val="24"/>
          <w:rtl w:val="0"/>
        </w:rPr>
        <w:t xml:space="preserve">2.1 Sistema de Informação Gerencial (SIG)</w:t>
      </w:r>
    </w:p>
    <w:p w:rsidR="00000000" w:rsidDel="00000000" w:rsidP="00000000" w:rsidRDefault="00000000" w:rsidRPr="00000000" w14:paraId="00000018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Sistema de Informação Gerencial (SIG) é um processo de transformação de dados em informações utilizadas na estrutura decisória da organização, sustentando administrativamente a otimização dos resultados esperados (OLIVEIRA, 2014). Sua lógica não está centrada na tecnologia isoladamente, mas na qualidade do fluxo informacional que conecta o subsistema de informação ao subsistema de decisão e, por consequência, ao subsistema de ação — estruturado de forma integrada, planejado e modularizado para evitar ilhas de automação.</w:t>
      </w:r>
    </w:p>
    <w:p w:rsidR="00000000" w:rsidDel="00000000" w:rsidP="00000000" w:rsidRDefault="00000000" w:rsidRPr="00000000" w14:paraId="00000019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base desse funcionamento está na distinção entre dado, informação e conhecimento. Dado representa uma coleção de fatos objetivos relativos a eventos, sem interpretação ou base sustentável para a tomada de ação; informação é o dado organizado dentro de um contexto, com finalidade de proporcionar mudança em quem a recebe; e conhecimento é gerado a partir da análise da informação, capaz de reduzir incertezas e orientar ações (DAVENPORT; PRUSAK, 1998). Em ambientes industriais, essa distinção é concreta: sensores captam valores numéricos, relatórios transformam esses valores em informações e algoritmos preditivos identificam padrões de degradação, gerando conhecimento que antecipa falhas. O ciclo abaixo, ganha criticidade na Indústria 4.0, onde dados em tempo real permitem que o Engenheiro de Produção atue em decisões táticas e estratégicas.</w:t>
      </w:r>
    </w:p>
    <w:p w:rsidR="00000000" w:rsidDel="00000000" w:rsidP="00000000" w:rsidRDefault="00000000" w:rsidRPr="00000000" w14:paraId="0000001A">
      <w:pPr>
        <w:tabs>
          <w:tab w:val="left" w:leader="none" w:pos="241"/>
        </w:tabs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03838" cy="72491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838" cy="724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tipos de sistemas de informação exercem papéis complementares nesse fluxo. O TPS registra transações operacionais em tempo real, constituindo a base de dados do sistema produtivo. O MIS transforma esses registros em relatórios gerenciais e indicadores de desempenho. O DSS aplica modelos analíticos para apoiar decisões complexas. O ERP integra todos esses sistemas em uma única plataforma, sustentada por um banco de dados central que garante consistência, modularidade e governança (OLIVEIRA, 2014; STAIR; REYNOLDS, 2011).</w:t>
      </w:r>
    </w:p>
    <w:p w:rsidR="00000000" w:rsidDel="00000000" w:rsidP="00000000" w:rsidRDefault="00000000" w:rsidRPr="00000000" w14:paraId="0000001C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 a ótica do pensamento sistêmico, o fluxo de dados na produção segue o padrão:</w:t>
      </w:r>
    </w:p>
    <w:p w:rsidR="00000000" w:rsidDel="00000000" w:rsidP="00000000" w:rsidRDefault="00000000" w:rsidRPr="00000000" w14:paraId="0000001D">
      <w:pPr>
        <w:tabs>
          <w:tab w:val="left" w:leader="none" w:pos="241"/>
        </w:tabs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80596" cy="65880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0596" cy="658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Assim, produção, qualidade, logística e financeiro compartilham a mesma base de dados integrada — a falha de um subsistema no fornecimento correto de dados compromete toda a cadeia decisória (OLIVEIRA, 2014). </w:t>
      </w:r>
    </w:p>
    <w:p w:rsidR="00000000" w:rsidDel="00000000" w:rsidP="00000000" w:rsidRDefault="00000000" w:rsidRPr="00000000" w14:paraId="0000001F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contexto, a governança de TI torna-se elemento estruturante. Ela estabelece políticas, controles e responsabilidades sobre o uso dos dados organizacionais, garantindo integridade, segurança e rastreabilidade (ISACA, 2019). Um mecanismo central dessa governança é o audit trail — trilha de auditoria que registra todo acesso ou modificação no banco de dados com data, hora e autoria, permitindo identificar ações prejudiciais internas ou externas, intencionais ou não (RORATTO; DIAS, 2014). Enquanto planilhas compartilhadas não oferecem garantias de integridade ou autoria, o banco de dados corporativo mantém histórico completo e auditável, posicionando o EP em um ambiente controlado e confiável para análises críticas.</w:t>
      </w:r>
    </w:p>
    <w:p w:rsidR="00000000" w:rsidDel="00000000" w:rsidP="00000000" w:rsidRDefault="00000000" w:rsidRPr="00000000" w14:paraId="00000020">
      <w:pPr>
        <w:pStyle w:val="Heading5"/>
        <w:keepNext w:val="0"/>
        <w:keepLines w:val="0"/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bookmarkStart w:colFirst="0" w:colLast="0" w:name="_heading=h.xvtgn9ayqutr" w:id="1"/>
      <w:bookmarkEnd w:id="1"/>
      <w:r w:rsidDel="00000000" w:rsidR="00000000" w:rsidRPr="00000000">
        <w:rPr>
          <w:sz w:val="24"/>
          <w:szCs w:val="24"/>
          <w:rtl w:val="0"/>
        </w:rPr>
        <w:t xml:space="preserve">2.2 Arquitetura de Software</w:t>
      </w:r>
    </w:p>
    <w:p w:rsidR="00000000" w:rsidDel="00000000" w:rsidP="00000000" w:rsidRDefault="00000000" w:rsidRPr="00000000" w14:paraId="00000021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prática industrial, o EP não desenvolve sistemas, mas opera dentro deles e depende da extração correta de dados para analisar processos e sustentar decisões. Compreender a arquitetura de software é, portanto, uma competência funcional do engenheiro: a forma como o sistema é arquitetado determina onde o dado está armazenado, como é estruturado e por quais caminhos pode ser acessado (ROCHA, 2018).</w:t>
      </w:r>
    </w:p>
    <w:p w:rsidR="00000000" w:rsidDel="00000000" w:rsidP="00000000" w:rsidRDefault="00000000" w:rsidRPr="00000000" w14:paraId="00000022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arquitetura em camadas organiza o sistema em três níveis: a camada de apresentação, composta por interfaces, relatórios e dashboards; a camada de lógica de negócio, que contém as regras operacionais como OEE, MRP e controle de estoque; e a camada de dados, onde reside o banco de dados com tabelas, coleções e registros que armazenam o estado real da operação. Essa separação garante manutenção facilitada, segurança e escalabilidade — e posiciona o EP estrategicamente, pois permite acesso direto à camada de dados sem dependência da camada de apresentação (VALENTE, 2022).</w:t>
      </w:r>
    </w:p>
    <w:p w:rsidR="00000000" w:rsidDel="00000000" w:rsidP="00000000" w:rsidRDefault="00000000" w:rsidRPr="00000000" w14:paraId="00000023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padrão MVC, o Model representa os dados e as regras de acesso ao banco, a View é o que o usuário visualiza e o Controller faz a intermediação entre ambos (VALENTE, 2022). Em um sistema de ordens de produção, as tabelas que armazenam as ordens são o Model, a tela do operador é a View e a regra que valida a abertura da ordem é o Controller. O EP que acessa o banco diretamente opera no nível do Model, sem as limitações impostas pela interface (ROCHA, 2018).</w:t>
      </w:r>
    </w:p>
    <w:p w:rsidR="00000000" w:rsidDel="00000000" w:rsidP="00000000" w:rsidRDefault="00000000" w:rsidRPr="00000000" w14:paraId="00000024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perspectiva da Clean Architecture, proposta por Martin (2018), o banco de dados é um detalhe de infraestrutura desacoplado da lógica de negócio — a empresa pode substituir a tecnologia de armazenamento sem reescrever as regras operacionais, pois a regra de negócio deve ser separada do banco de dados por uma interface. Dessa forma, o banco de dados funciona como a memória da manufatura: acessá-lo diretamente proporciona maior velocidade, granularidade e autonomia analítica do que qualquer interface intermediária.</w:t>
      </w:r>
    </w:p>
    <w:p w:rsidR="00000000" w:rsidDel="00000000" w:rsidP="00000000" w:rsidRDefault="00000000" w:rsidRPr="00000000" w14:paraId="00000025">
      <w:pPr>
        <w:pStyle w:val="Heading5"/>
        <w:keepNext w:val="0"/>
        <w:keepLines w:val="0"/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bookmarkStart w:colFirst="0" w:colLast="0" w:name="_heading=h.5nlm2wx6r10a" w:id="2"/>
      <w:bookmarkEnd w:id="2"/>
      <w:r w:rsidDel="00000000" w:rsidR="00000000" w:rsidRPr="00000000">
        <w:rPr>
          <w:sz w:val="24"/>
          <w:szCs w:val="24"/>
          <w:rtl w:val="0"/>
        </w:rPr>
        <w:t xml:space="preserve">2.3 Bancos de Dados</w:t>
      </w:r>
    </w:p>
    <w:p w:rsidR="00000000" w:rsidDel="00000000" w:rsidP="00000000" w:rsidRDefault="00000000" w:rsidRPr="00000000" w14:paraId="00000026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década de 1960, os dados eram organizados em modelos hierárquicos como o IBM IMS, com estrutura rígida e pouca flexibilidade analítica. Em 1970, Edgar F. Codd propôs o modelo relacional — dados em tabelas fundamentadas na álgebra relacional — eliminando a dependência da estrutura física e permitindo consultas declarativas. Nas décadas de 1980 e 1990, a consolidação do SQL impulsionou soluções como Oracle, PostgreSQL e MySQL, sobre as quais os ERPs industriais foram construídos. A partir dos anos 2000, limitações de escalabilidade horizontal do modelo relacional impulsionaram o movimento NoSQL, com MongoDB, Apache Cassandra e Redis. Após 2010, consolida-se o conceito de polyglot persistence: diferentes tipos de bancos coexistem na mesma organização, cada um escolhido conforme a natureza do problema (SADALAGE; FOWLER, 2013).</w:t>
      </w:r>
    </w:p>
    <w:p w:rsidR="00000000" w:rsidDel="00000000" w:rsidP="00000000" w:rsidRDefault="00000000" w:rsidRPr="00000000" w14:paraId="00000027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banco relacional organiza dados em tabelas com chave primária e chaves estrangeiras que estabelecem relacionamentos entre entidades, permitindo consultas via SELECT, JOIN e GROUP BY. Opera sob as propriedades ACID — atomicidade, consistência, isolamento e durabilidade — que garantem integridade transacional (ELMASRI; NAVATHE, 2018). No contexto do EP, isso se materializa nas tabelas de ordens de produção, estoque, fornecedores e funcionários do ERP.</w:t>
      </w:r>
    </w:p>
    <w:p w:rsidR="00000000" w:rsidDel="00000000" w:rsidP="00000000" w:rsidRDefault="00000000" w:rsidRPr="00000000" w14:paraId="00000028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bancos NoSQL atendem cenários com alto volume, estrutura variável e necessidade de escalabilidade horizontal. Bancos documentais como MongoDB armazenam dados em JSON com estrutura flexível; bancos colunares como Cassandra são otimizados para séries temporais e escrita massiva; bancos chave-valor como Redis permitem acesso ultrarrápido em cache. Operam sob o princípio BASE — disponibilidade, estado suave e consistência eventual (SADALAGE; FOWLER, 2013). No EP, aplicam-se ao armazenamento de dados de sensores IoT, logs de máquinas e telemetria industrial.</w:t>
      </w:r>
    </w:p>
    <w:p w:rsidR="00000000" w:rsidDel="00000000" w:rsidP="00000000" w:rsidRDefault="00000000" w:rsidRPr="00000000" w14:paraId="00000029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escolha entre relacional e NoSQL depende da estrutura do dado, volume, frequência de acesso e necessidade de consistência. Processos transacionais como estoque e ordens de produção permanecem no relacional. Dados de monitoramento contínuo beneficiam-se do NoSQL. Em muitas organizações industriais, aplica-se polyglot persistence: PostgreSQL para dados transacionais e Cassandra para séries temporais (SADALAGE; FOWLER, 2013).</w:t>
      </w:r>
    </w:p>
    <w:p w:rsidR="00000000" w:rsidDel="00000000" w:rsidP="00000000" w:rsidRDefault="00000000" w:rsidRPr="00000000" w14:paraId="0000002A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confiabilidade desses dados é garantida pela normalização. Na 1FN, cada célula contém um único valor atômico. Na 2FN, todo atributo não-chave depende da chave primária completa. Na 3FN, nenhum atributo não-chave depende de outro atributo não-chave. Esse processo elimina redundâncias e garante que o dado extraído pelo EP represente fielmente a operação (DATE, 2015; ELMASRI; NAVATHE, 2018).</w:t>
      </w:r>
    </w:p>
    <w:p w:rsidR="00000000" w:rsidDel="00000000" w:rsidP="00000000" w:rsidRDefault="00000000" w:rsidRPr="00000000" w14:paraId="0000002B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relacionamentos entre entidades seguem padrões definidos: 1:1 entre funcionário e crachá; 1:N entre setor e funcionários; N:M entre produto e fornecedor, exigindo tabela associativa (HEUSER, 2009). Quanto à dependência estrutural, na agregação as partes existem independentemente do todo — como fornecedor e pedido de compra; na composição as partes não existem sem o todo — como ordem de produção e seus itens, implementada com ON DELETE CASCADE no relacional ou documentos embutidos no NoSQL (ELMASRI; NAVATHE, 2018).</w:t>
      </w:r>
    </w:p>
    <w:p w:rsidR="00000000" w:rsidDel="00000000" w:rsidP="00000000" w:rsidRDefault="00000000" w:rsidRPr="00000000" w14:paraId="0000002C">
      <w:pPr>
        <w:tabs>
          <w:tab w:val="left" w:leader="none" w:pos="241"/>
        </w:tabs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acesso a esses dados segue um procedimento técnico padronizado: conexão via string contendo servidor, porta, banco, usuário e senha; execução da consulta; carregamento do resultado; encerramento da conexão. Em ambiente analítico, bibliotecas Python como psycopg2, mysql-connector e pymongo, integradas ao pandas via read_sql, estruturam a extração dos dados (ELMASRI; NAVATHE, 2018). Boas práticas exigem que credenciais não sejam expostas no código, utilizando variáveis de ambiente. Quando documentado, esse processo transforma o acesso ao banco em um POP repetível, auditável e transferível.</w:t>
      </w:r>
    </w:p>
    <w:p w:rsidR="00000000" w:rsidDel="00000000" w:rsidP="00000000" w:rsidRDefault="00000000" w:rsidRPr="00000000" w14:paraId="0000002D">
      <w:pPr>
        <w:tabs>
          <w:tab w:val="left" w:leader="none" w:pos="241"/>
        </w:tabs>
        <w:ind w:left="24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tabs>
          <w:tab w:val="left" w:leader="none" w:pos="241"/>
        </w:tabs>
        <w:spacing w:after="0" w:before="0" w:line="240" w:lineRule="auto"/>
        <w:ind w:left="0" w:right="0" w:firstLine="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3. Metodologia</w:t>
      </w:r>
    </w:p>
    <w:p w:rsidR="00000000" w:rsidDel="00000000" w:rsidP="00000000" w:rsidRDefault="00000000" w:rsidRPr="00000000" w14:paraId="0000002F">
      <w:pPr>
        <w:tabs>
          <w:tab w:val="left" w:leader="none" w:pos="24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41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adota como procedimento metodológico a conexão direta ao ambiente corporativo de dados para extração e análise de informações operacionais de logística e supply chain, executada pelo autor em contexto de estágio supervisionado.</w:t>
      </w:r>
    </w:p>
    <w:p w:rsidR="00000000" w:rsidDel="00000000" w:rsidP="00000000" w:rsidRDefault="00000000" w:rsidRPr="00000000" w14:paraId="00000031">
      <w:pPr>
        <w:tabs>
          <w:tab w:val="left" w:leader="none" w:pos="241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plataforma utilizada é o Databricks, solução corporativa construída sobre Apache Spark com Delta Lake como camada de armazenamento. Essa arquitetura combina propriedades ACID com escalabilidade distribuída, sendo a fonte primária de dados operacionais da organização. O acesso direto à plataforma elimina intermediários como relatórios exportados ou planilhas agregadas, garantindo granularidade, atualidade e rastreabilidade dos dados extraídos, condições essenciais para análise confiável em Engenharia de Produção.</w:t>
      </w:r>
    </w:p>
    <w:p w:rsidR="00000000" w:rsidDel="00000000" w:rsidP="00000000" w:rsidRDefault="00000000" w:rsidRPr="00000000" w14:paraId="00000032">
      <w:pPr>
        <w:tabs>
          <w:tab w:val="left" w:leader="none" w:pos="241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procedimento será executado em cinco etapas sequenciais: conexão ao workspace Databricks via credencial corporativa; mapeamento das tabelas e esquemas disponíveis no Delta Lake relacionados à operação logística; extração dos dados por meio de queries SQL nativas no ambiente de notebook; transformação dos resultados em DataFrame pandas para geração de indicadores operacionais; e interpretação dos indicadores conforme o ciclo dado de informação, conhecimento, decisão fundamentado na seção anterior.</w:t>
      </w:r>
    </w:p>
    <w:p w:rsidR="00000000" w:rsidDel="00000000" w:rsidP="00000000" w:rsidRDefault="00000000" w:rsidRPr="00000000" w14:paraId="00000033">
      <w:pPr>
        <w:tabs>
          <w:tab w:val="left" w:leader="none" w:pos="241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indicadores planejados para extração cobrem volume de ordens por período, tempo médio de entrega, taxa de cumprimento de prazo e identificação de gargalos por centro de distribuição. Todo o código, queries e outputs serão versionados no repositório GitHub da turma, garantindo reprodutibilidade e rastreabilidade do procedimento. Dados pessoais serão anonimizados em conformidade com a LGPD, e credenciais de acesso não serão expostas no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37" w:line="360" w:lineRule="auto"/>
        <w:ind w:left="1" w:right="14" w:firstLine="0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Resultados e Discussões</w:t>
      </w:r>
    </w:p>
    <w:p w:rsidR="00000000" w:rsidDel="00000000" w:rsidP="00000000" w:rsidRDefault="00000000" w:rsidRPr="00000000" w14:paraId="00000035">
      <w:pPr>
        <w:spacing w:before="137" w:line="360" w:lineRule="auto"/>
        <w:ind w:left="1" w:right="14" w:firstLine="0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Conclusão</w:t>
      </w:r>
    </w:p>
    <w:p w:rsidR="00000000" w:rsidDel="00000000" w:rsidP="00000000" w:rsidRDefault="00000000" w:rsidRPr="00000000" w14:paraId="00000036">
      <w:pPr>
        <w:spacing w:before="137" w:line="360" w:lineRule="auto"/>
        <w:ind w:left="1" w:right="14" w:firstLine="0"/>
        <w:jc w:val="both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Referências</w:t>
      </w:r>
    </w:p>
    <w:p w:rsidR="00000000" w:rsidDel="00000000" w:rsidP="00000000" w:rsidRDefault="00000000" w:rsidRPr="00000000" w14:paraId="00000037">
      <w:pPr>
        <w:shd w:fill="ffffff" w:val="clear"/>
        <w:spacing w:after="240" w:before="0" w:line="360" w:lineRule="auto"/>
        <w:ind w:left="-40" w:right="-40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ABEPRO – ASSOCIAÇÃO BRASILEIRA DE ENGENHARIA DE PRODUÇÃO. Áreas e sub-áreas de Engenharia de Produção. [S. l.]: ABEPRO, 2018. Disponível em: </w:t>
      </w:r>
      <w:hyperlink r:id="rId11">
        <w:r w:rsidDel="00000000" w:rsidR="00000000" w:rsidRPr="00000000">
          <w:rPr>
            <w:color w:val="3964fe"/>
            <w:sz w:val="24"/>
            <w:szCs w:val="24"/>
            <w:rtl w:val="0"/>
          </w:rPr>
          <w:t xml:space="preserve">https://portal.abepro.org.br/abepro2024/profissao/</w:t>
        </w:r>
      </w:hyperlink>
      <w:r w:rsidDel="00000000" w:rsidR="00000000" w:rsidRPr="00000000">
        <w:rPr>
          <w:color w:val="0f1115"/>
          <w:sz w:val="24"/>
          <w:szCs w:val="24"/>
          <w:rtl w:val="0"/>
        </w:rPr>
        <w:t xml:space="preserve">. Acesso em: 30 abr. 2025.</w:t>
      </w:r>
    </w:p>
    <w:p w:rsidR="00000000" w:rsidDel="00000000" w:rsidP="00000000" w:rsidRDefault="00000000" w:rsidRPr="00000000" w14:paraId="00000038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DATE, C. J. Introdução a sistemas de bancos de dados. 8. ed. Rio de Janeiro: Elsevier, 2004.</w:t>
      </w:r>
    </w:p>
    <w:p w:rsidR="00000000" w:rsidDel="00000000" w:rsidP="00000000" w:rsidRDefault="00000000" w:rsidRPr="00000000" w14:paraId="00000039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DATE, C. J. Projeto de banco de dados e teoria relacional: formas normais e tudo mais. 1. ed. São Paulo: Novatec, 2015.</w:t>
      </w:r>
    </w:p>
    <w:p w:rsidR="00000000" w:rsidDel="00000000" w:rsidP="00000000" w:rsidRDefault="00000000" w:rsidRPr="00000000" w14:paraId="0000003A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DAVENPORT, T. H.; PRUSAK, L. Conhecimento empresarial: como as organizações gerenciam o seu capital intelectual. Rio de Janeiro: Campus, 1998.</w:t>
      </w:r>
    </w:p>
    <w:p w:rsidR="00000000" w:rsidDel="00000000" w:rsidP="00000000" w:rsidRDefault="00000000" w:rsidRPr="00000000" w14:paraId="0000003B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ELMASRI, R.; NAVATHE, S. B. Sistemas de banco de dados. 7. ed. São Paulo: Pearson, 2016.</w:t>
      </w:r>
    </w:p>
    <w:p w:rsidR="00000000" w:rsidDel="00000000" w:rsidP="00000000" w:rsidRDefault="00000000" w:rsidRPr="00000000" w14:paraId="0000003C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ELMASRI, R.; NAVATHE, S. B. Sistemas de banco de dados. 7. ed. São Paulo: Pearson, 2018.</w:t>
      </w:r>
    </w:p>
    <w:p w:rsidR="00000000" w:rsidDel="00000000" w:rsidP="00000000" w:rsidRDefault="00000000" w:rsidRPr="00000000" w14:paraId="0000003D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HEUSER, C. A. Projeto de banco de dados. 6. ed. Porto Alegre: Bookman, 2009.</w:t>
      </w:r>
    </w:p>
    <w:p w:rsidR="00000000" w:rsidDel="00000000" w:rsidP="00000000" w:rsidRDefault="00000000" w:rsidRPr="00000000" w14:paraId="0000003E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INMON, W. H. Building the data warehouse. 4. ed. Indianapolis: Wiley, 2005.</w:t>
      </w:r>
    </w:p>
    <w:p w:rsidR="00000000" w:rsidDel="00000000" w:rsidP="00000000" w:rsidRDefault="00000000" w:rsidRPr="00000000" w14:paraId="0000003F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ISACA. COBIT 2019 Framework: Introduction and Methodology. Rolling Meadows: ISACA, 2019.</w:t>
      </w:r>
    </w:p>
    <w:p w:rsidR="00000000" w:rsidDel="00000000" w:rsidP="00000000" w:rsidRDefault="00000000" w:rsidRPr="00000000" w14:paraId="00000040">
      <w:pPr>
        <w:shd w:fill="ffffff" w:val="clear"/>
        <w:spacing w:after="240" w:before="0" w:line="360" w:lineRule="auto"/>
        <w:ind w:left="-40" w:right="-40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KAGERMANN, H.; WAHLSTER, W.; HELBIG, J. Recommendations for implementing the strategic initiative Industrie 4.0: final report of the Industrie 4.0 Working Group. Berlin: Acatech – National Academy of Science and Engineering, 2013. Disponível em: </w:t>
      </w:r>
      <w:hyperlink r:id="rId12">
        <w:r w:rsidDel="00000000" w:rsidR="00000000" w:rsidRPr="00000000">
          <w:rPr>
            <w:color w:val="3964fe"/>
            <w:sz w:val="24"/>
            <w:szCs w:val="24"/>
            <w:rtl w:val="0"/>
          </w:rPr>
          <w:t xml:space="preserve">https://en.acatech.de/publication/recommendations-for-implementing-the-strategic-initiative-industrie-4-0-final-report-of-the-industrie-4-0-working-group/</w:t>
        </w:r>
      </w:hyperlink>
      <w:r w:rsidDel="00000000" w:rsidR="00000000" w:rsidRPr="00000000">
        <w:rPr>
          <w:color w:val="0f1115"/>
          <w:sz w:val="24"/>
          <w:szCs w:val="24"/>
          <w:rtl w:val="0"/>
        </w:rPr>
        <w:t xml:space="preserve">. Acesso em: 30 abr. 2026.</w:t>
      </w:r>
    </w:p>
    <w:p w:rsidR="00000000" w:rsidDel="00000000" w:rsidP="00000000" w:rsidRDefault="00000000" w:rsidRPr="00000000" w14:paraId="00000041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KIMBALL, R.; ROSS, M. The data warehouse toolkit: the definitive guide to dimensional modeling. 3. ed. Indianapolis: Wiley, 2013.</w:t>
      </w:r>
    </w:p>
    <w:p w:rsidR="00000000" w:rsidDel="00000000" w:rsidP="00000000" w:rsidRDefault="00000000" w:rsidRPr="00000000" w14:paraId="00000042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MARTIN, R. C. Arquitetura limpa: o guia do artesão para estrutura e design de software. São Paulo: Alta Books, 2018.</w:t>
      </w:r>
    </w:p>
    <w:p w:rsidR="00000000" w:rsidDel="00000000" w:rsidP="00000000" w:rsidRDefault="00000000" w:rsidRPr="00000000" w14:paraId="00000043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MCAFEE, A.; BRYNJOLFSSON, E. Big data: the management revolution. Harvard Business Review, Boston, v. 90, n. 10, p. 60-68, out. 2012.</w:t>
      </w:r>
    </w:p>
    <w:p w:rsidR="00000000" w:rsidDel="00000000" w:rsidP="00000000" w:rsidRDefault="00000000" w:rsidRPr="00000000" w14:paraId="00000044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OLIVEIRA, D. P. R. Sistemas de informações gerenciais: estratégicas, táticas, operacionais. 16. ed. São Paulo: Atlas, 2014.</w:t>
      </w:r>
    </w:p>
    <w:p w:rsidR="00000000" w:rsidDel="00000000" w:rsidP="00000000" w:rsidRDefault="00000000" w:rsidRPr="00000000" w14:paraId="00000045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ROCHA, J. G. Arquitetura em camadas com uso do paradigma MVC e processo unificado na programação de software orientado a objetos. Revista Tecnologias em Projeção, v. 9, n. 1, p. 32–42, 2018.</w:t>
      </w:r>
    </w:p>
    <w:p w:rsidR="00000000" w:rsidDel="00000000" w:rsidP="00000000" w:rsidRDefault="00000000" w:rsidRPr="00000000" w14:paraId="00000046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RORATTO, R.; DIAS, E. D. Security information in production and operations: a study on audit trails in database systems. Journal of Information Systems and Technology Management, v. 11, n. 3, p. 717–734, 2014. DOI: 10.4301/S1807-17752014000300010.</w:t>
      </w:r>
    </w:p>
    <w:p w:rsidR="00000000" w:rsidDel="00000000" w:rsidP="00000000" w:rsidRDefault="00000000" w:rsidRPr="00000000" w14:paraId="00000047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SADALAGE, P. J.; FOWLER, M. NoSQL distilled: a brief guide to the emerging world of polyglot persistence. Upper Saddle River: Addison-Wesley, 2013.</w:t>
      </w:r>
    </w:p>
    <w:p w:rsidR="00000000" w:rsidDel="00000000" w:rsidP="00000000" w:rsidRDefault="00000000" w:rsidRPr="00000000" w14:paraId="00000048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SCHWAB, K. A quarta revolução industrial. Tradução de Daniel Moreira Miranda. São Paulo: Edipro, 2016.</w:t>
      </w:r>
    </w:p>
    <w:p w:rsidR="00000000" w:rsidDel="00000000" w:rsidP="00000000" w:rsidRDefault="00000000" w:rsidRPr="00000000" w14:paraId="00000049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SIMON, H. A. The sciences of the artificial. 3. ed. Cambridge: MIT Press, 1996.</w:t>
      </w:r>
    </w:p>
    <w:p w:rsidR="00000000" w:rsidDel="00000000" w:rsidP="00000000" w:rsidRDefault="00000000" w:rsidRPr="00000000" w14:paraId="0000004A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SLACK, N.; CHAMBERS, S.; JOHNSTON, R. Administração da produção. 3. ed. São Paulo: Atlas, 2009.</w:t>
      </w:r>
    </w:p>
    <w:p w:rsidR="00000000" w:rsidDel="00000000" w:rsidP="00000000" w:rsidRDefault="00000000" w:rsidRPr="00000000" w14:paraId="0000004B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STAIR, R. M.; REYNOLDS, G. W. Princípios de sistemas de informação. 9. ed. São Paulo: Cengage Learning, 2011.</w:t>
      </w:r>
    </w:p>
    <w:p w:rsidR="00000000" w:rsidDel="00000000" w:rsidP="00000000" w:rsidRDefault="00000000" w:rsidRPr="00000000" w14:paraId="0000004C">
      <w:pPr>
        <w:shd w:fill="ffffff" w:val="clear"/>
        <w:spacing w:after="240" w:before="0" w:line="36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TURBAN, E.; SHARDA, R.; DELEN, D. Business intelligence e análise de dados para gestão do negócio. 3. ed. Porto Alegre: Bookman, 2014.</w:t>
      </w:r>
    </w:p>
    <w:p w:rsidR="00000000" w:rsidDel="00000000" w:rsidP="00000000" w:rsidRDefault="00000000" w:rsidRPr="00000000" w14:paraId="0000004D">
      <w:pPr>
        <w:shd w:fill="ffffff" w:val="clear"/>
        <w:spacing w:before="0" w:line="360" w:lineRule="auto"/>
        <w:ind w:left="-40" w:right="-40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VALENTE, M. T. Engenharia de software moderna: princípios e práticas para desenvolvimento de software com produtividade. Belo Horizonte: [s.n.], 2022. Disponível em: </w:t>
      </w:r>
      <w:hyperlink r:id="rId13">
        <w:r w:rsidDel="00000000" w:rsidR="00000000" w:rsidRPr="00000000">
          <w:rPr>
            <w:color w:val="3964fe"/>
            <w:sz w:val="24"/>
            <w:szCs w:val="24"/>
            <w:rtl w:val="0"/>
          </w:rPr>
          <w:t xml:space="preserve">https://engsoftmoderna.info</w:t>
        </w:r>
      </w:hyperlink>
      <w:r w:rsidDel="00000000" w:rsidR="00000000" w:rsidRPr="00000000">
        <w:rPr>
          <w:color w:val="0f1115"/>
          <w:sz w:val="24"/>
          <w:szCs w:val="24"/>
          <w:rtl w:val="0"/>
        </w:rPr>
        <w:t xml:space="preserve">. Acesso em: mai. 2026.</w:t>
      </w:r>
    </w:p>
    <w:p w:rsidR="00000000" w:rsidDel="00000000" w:rsidP="00000000" w:rsidRDefault="00000000" w:rsidRPr="00000000" w14:paraId="0000004E">
      <w:pPr>
        <w:spacing w:after="240" w:before="0" w:line="36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37" w:line="360" w:lineRule="auto"/>
        <w:ind w:left="1" w:right="14" w:firstLine="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37" w:line="360" w:lineRule="auto"/>
        <w:ind w:left="0" w:right="14" w:firstLine="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1" w:right="14" w:firstLine="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nextPage"/>
      <w:pgSz w:h="16840" w:w="11920" w:orient="portrait"/>
      <w:pgMar w:bottom="1240" w:top="1620" w:left="1700" w:right="1133" w:header="700" w:footer="1046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5661985</wp:posOffset>
              </wp:positionH>
              <wp:positionV relativeFrom="paragraph">
                <wp:posOffset>9880118</wp:posOffset>
              </wp:positionV>
              <wp:extent cx="120650" cy="2133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295200" y="3682845"/>
                        <a:ext cx="101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5661985</wp:posOffset>
              </wp:positionH>
              <wp:positionV relativeFrom="paragraph">
                <wp:posOffset>9880118</wp:posOffset>
              </wp:positionV>
              <wp:extent cx="120650" cy="213360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" cy="2133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5636585</wp:posOffset>
              </wp:positionH>
              <wp:positionV relativeFrom="paragraph">
                <wp:posOffset>9880120</wp:posOffset>
              </wp:positionV>
              <wp:extent cx="184150" cy="2133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263450" y="3682845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5636585</wp:posOffset>
              </wp:positionH>
              <wp:positionV relativeFrom="paragraph">
                <wp:posOffset>9880120</wp:posOffset>
              </wp:positionV>
              <wp:extent cx="184150" cy="213360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150" cy="2133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1082633</wp:posOffset>
          </wp:positionH>
          <wp:positionV relativeFrom="page">
            <wp:posOffset>444445</wp:posOffset>
          </wp:positionV>
          <wp:extent cx="1286504" cy="371048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6504" cy="37104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4051349</wp:posOffset>
              </wp:positionH>
              <wp:positionV relativeFrom="page">
                <wp:posOffset>451848</wp:posOffset>
              </wp:positionV>
              <wp:extent cx="2811145" cy="4572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49953" y="3560925"/>
                        <a:ext cx="2792095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18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XLVI ENCONTRO NACIONAL DE ENGENHARIA DE PRODUÇÃO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123.00000190734863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"Engenharia de Produção para a Transição Sustentável: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123.00000190734863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Modelagem de Dados e Inovação"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182.0000123977661"/>
                            <w:ind w:left="0" w:right="123.00000190734863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16"/>
                              <w:vertAlign w:val="baseline"/>
                            </w:rPr>
                            <w:t xml:space="preserve">São Paulo/SP, 20 a 23 de outubro de 2026.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4051349</wp:posOffset>
              </wp:positionH>
              <wp:positionV relativeFrom="page">
                <wp:posOffset>451848</wp:posOffset>
              </wp:positionV>
              <wp:extent cx="2811145" cy="4572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11145" cy="457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1082633</wp:posOffset>
          </wp:positionH>
          <wp:positionV relativeFrom="page">
            <wp:posOffset>444444</wp:posOffset>
          </wp:positionV>
          <wp:extent cx="1286504" cy="371048"/>
          <wp:effectExtent b="0" l="0" r="0" t="0"/>
          <wp:wrapNone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6504" cy="37104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4051349</wp:posOffset>
              </wp:positionH>
              <wp:positionV relativeFrom="page">
                <wp:posOffset>451848</wp:posOffset>
              </wp:positionV>
              <wp:extent cx="2811145" cy="4572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49953" y="3560925"/>
                        <a:ext cx="2792095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18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XLVI ENCONTRO NACIONAL DE ENGENHARIA DE PRODUÇÃO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123.00000190734863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"Engenharia de Produção para a Transição Sustentável: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123.00000190734863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Modelagem de Dados e Inovação"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182.0000123977661"/>
                            <w:ind w:left="0" w:right="123.00000190734863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16"/>
                              <w:vertAlign w:val="baseline"/>
                            </w:rPr>
                            <w:t xml:space="preserve">São Paulo/SP, 20 a 23 de outubro de 2026.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4051349</wp:posOffset>
              </wp:positionH>
              <wp:positionV relativeFrom="page">
                <wp:posOffset>451848</wp:posOffset>
              </wp:positionV>
              <wp:extent cx="2811145" cy="45720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11145" cy="457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41" w:hanging="240"/>
      </w:pPr>
      <w:rPr/>
    </w:lvl>
    <w:lvl w:ilvl="1">
      <w:start w:val="1"/>
      <w:numFmt w:val="decimal"/>
      <w:lvlText w:val="%1.%2."/>
      <w:lvlJc w:val="left"/>
      <w:pPr>
        <w:ind w:left="421" w:hanging="420"/>
      </w:pPr>
      <w:rPr>
        <w:rFonts w:ascii="Times New Roman" w:cs="Times New Roman" w:eastAsia="Times New Roman" w:hAnsi="Times New Roman"/>
        <w:b w:val="1"/>
        <w:bCs w:val="1"/>
        <w:i w:val="0"/>
        <w:iCs w:val="0"/>
        <w:color w:val="333333"/>
        <w:sz w:val="24"/>
        <w:szCs w:val="24"/>
      </w:rPr>
    </w:lvl>
    <w:lvl w:ilvl="2">
      <w:start w:val="0"/>
      <w:numFmt w:val="bullet"/>
      <w:lvlText w:val="•"/>
      <w:lvlJc w:val="left"/>
      <w:pPr>
        <w:ind w:left="1383" w:hanging="419.9999999999998"/>
      </w:pPr>
      <w:rPr/>
    </w:lvl>
    <w:lvl w:ilvl="3">
      <w:start w:val="0"/>
      <w:numFmt w:val="bullet"/>
      <w:lvlText w:val="•"/>
      <w:lvlJc w:val="left"/>
      <w:pPr>
        <w:ind w:left="2346" w:hanging="420"/>
      </w:pPr>
      <w:rPr/>
    </w:lvl>
    <w:lvl w:ilvl="4">
      <w:start w:val="0"/>
      <w:numFmt w:val="bullet"/>
      <w:lvlText w:val="•"/>
      <w:lvlJc w:val="left"/>
      <w:pPr>
        <w:ind w:left="3309" w:hanging="420"/>
      </w:pPr>
      <w:rPr/>
    </w:lvl>
    <w:lvl w:ilvl="5">
      <w:start w:val="0"/>
      <w:numFmt w:val="bullet"/>
      <w:lvlText w:val="•"/>
      <w:lvlJc w:val="left"/>
      <w:pPr>
        <w:ind w:left="4272" w:hanging="420"/>
      </w:pPr>
      <w:rPr/>
    </w:lvl>
    <w:lvl w:ilvl="6">
      <w:start w:val="0"/>
      <w:numFmt w:val="bullet"/>
      <w:lvlText w:val="•"/>
      <w:lvlJc w:val="left"/>
      <w:pPr>
        <w:ind w:left="5235" w:hanging="420"/>
      </w:pPr>
      <w:rPr/>
    </w:lvl>
    <w:lvl w:ilvl="7">
      <w:start w:val="0"/>
      <w:numFmt w:val="bullet"/>
      <w:lvlText w:val="•"/>
      <w:lvlJc w:val="left"/>
      <w:pPr>
        <w:ind w:left="6198" w:hanging="420"/>
      </w:pPr>
      <w:rPr/>
    </w:lvl>
    <w:lvl w:ilvl="8">
      <w:start w:val="0"/>
      <w:numFmt w:val="bullet"/>
      <w:lvlText w:val="•"/>
      <w:lvlJc w:val="left"/>
      <w:pPr>
        <w:ind w:left="7161" w:hanging="4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41" w:hanging="24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5053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ortal.abepro.org.br/abepro2024/profissao/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engsoftmoderna.info/" TargetMode="External"/><Relationship Id="rId12" Type="http://schemas.openxmlformats.org/officeDocument/2006/relationships/hyperlink" Target="https://en.acatech.de/publication/recommendations-for-implementing-the-strategic-initiative-industrie-4-0-final-report-of-the-industrie-4-0-working-grou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1WtIcJ/2VycyR9B8NTuIi/3QHQ==">CgMxLjAyDmguNTR3cTJuNHR3aWVoMg5oLnh2dGduOWF5cXV0cjIOaC41bmxtMnd4NnIxMGE4AHIhMUhTWi01T3d0bF9ybmNsdGFFOENybU01YXZPS3pmak1B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2026-03-26T00:00:00Z</vt:lpwstr>
  </property>
  <property fmtid="{D5CDD505-2E9C-101B-9397-08002B2CF9AE}" pid="3" name="Producer">
    <vt:lpwstr>Skia/PDF m148 Google Docs Renderer</vt:lpwstr>
  </property>
  <property fmtid="{D5CDD505-2E9C-101B-9397-08002B2CF9AE}" pid="4" name="LastSaved">
    <vt:lpwstr>2026-03-26T00:00:00Z</vt:lpwstr>
  </property>
</Properties>
</file>