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0716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课题：基于思维链的世界-动作模型（WAM-CoT）在机器臂复杂物理交互中的策略研究</w:t>
      </w:r>
    </w:p>
    <w:p w14:paraId="2304562A">
      <w:pPr>
        <w:keepNext w:val="0"/>
        <w:keepLines w:val="0"/>
        <w:widowControl/>
        <w:suppressLineNumbers w:val="0"/>
        <w:jc w:val="left"/>
        <w:rPr>
          <w:rFonts w:ascii="宋体" w:hAnsi="宋体" w:eastAsia="宋体" w:cs="宋体"/>
          <w:kern w:val="0"/>
          <w:sz w:val="24"/>
          <w:szCs w:val="24"/>
          <w:lang w:val="en-US" w:eastAsia="zh-CN" w:bidi="ar"/>
        </w:rPr>
      </w:pPr>
    </w:p>
    <w:p w14:paraId="1B2A998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1. 课题亮点与价值 * **前沿技术范式：** 结合了具身智能（Embodied AI）最火热的两个方向——**世界-动作模型（World-Action Models）**与**思维链推理（Chain-of-Thought）**。 </w:t>
      </w:r>
    </w:p>
    <w:p w14:paraId="4E04E23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**攻克长视野难题：** 针对机器人操作中易发生的“误差累积”与“策略崩溃”问题，探索 System 1（物理直觉）与 System 2（逻辑推理）的有效对齐。 * **实战化仿真环境：** 依托 RoboTwin、RoboCasa 等高性能仿真平台，在复杂的遮挡、多阶段堆叠任务中验证模型鲁棒性。 </w:t>
      </w:r>
    </w:p>
    <w:p w14:paraId="1CC3362D">
      <w:pPr>
        <w:keepNext w:val="0"/>
        <w:keepLines w:val="0"/>
        <w:widowControl/>
        <w:suppressLineNumbers w:val="0"/>
        <w:jc w:val="left"/>
        <w:rPr>
          <w:rFonts w:ascii="宋体" w:hAnsi="宋体" w:eastAsia="宋体" w:cs="宋体"/>
          <w:kern w:val="0"/>
          <w:sz w:val="24"/>
          <w:szCs w:val="24"/>
          <w:lang w:val="en-US" w:eastAsia="zh-CN" w:bidi="ar"/>
        </w:rPr>
      </w:pPr>
    </w:p>
    <w:p w14:paraId="38BAD0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2. 所需基础（知识、语言、工具） </w:t>
      </w:r>
    </w:p>
    <w:p w14:paraId="7FC8C4A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**编程语言：** 熟练使用 **Python**，具备 Linux 环境下的脚本编写能力。 * **深度学习框架：** 熟悉 **PyTorch**（或 JAX/TensorFlow），能够调试 Transformer、VAE 或扩散模型（Diffusion Models）。</w:t>
      </w:r>
    </w:p>
    <w:p w14:paraId="30ECD61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**专业知识：** 具备强化学习、具身智能基础；对 VLA 模型或基于 DiT 架构的世界模型有初步认知。 </w:t>
      </w:r>
    </w:p>
    <w:p w14:paraId="24341245">
      <w:pPr>
        <w:keepNext w:val="0"/>
        <w:keepLines w:val="0"/>
        <w:widowControl/>
        <w:suppressLineNumbers w:val="0"/>
        <w:jc w:val="left"/>
        <w:rPr>
          <w:rFonts w:ascii="宋体" w:hAnsi="宋体" w:eastAsia="宋体" w:cs="宋体"/>
          <w:kern w:val="0"/>
          <w:sz w:val="24"/>
          <w:szCs w:val="24"/>
          <w:lang w:val="en-US" w:eastAsia="zh-CN" w:bidi="ar"/>
        </w:rPr>
      </w:pPr>
    </w:p>
    <w:p w14:paraId="049658E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3. 研究目标与任务分解 </w:t>
      </w:r>
    </w:p>
    <w:p w14:paraId="10254D05">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本项目旨在设计并验证一种基于思维链机制的世界-动作模型（WAM-CoT），探索中间推理过程是否能够提升机器臂在复杂物理交互任务中的策略性能。 </w:t>
      </w:r>
    </w:p>
    <w:p w14:paraId="51201D54">
      <w:pPr>
        <w:keepNext w:val="0"/>
        <w:keepLines w:val="0"/>
        <w:widowControl/>
        <w:suppressLineNumbers w:val="0"/>
        <w:ind w:firstLine="480" w:firstLineChars="200"/>
        <w:jc w:val="left"/>
        <w:rPr>
          <w:rFonts w:ascii="宋体" w:hAnsi="宋体" w:eastAsia="宋体" w:cs="宋体"/>
          <w:kern w:val="0"/>
          <w:sz w:val="24"/>
          <w:szCs w:val="24"/>
          <w:lang w:val="en-US" w:eastAsia="zh-CN" w:bidi="ar"/>
        </w:rPr>
      </w:pPr>
    </w:p>
    <w:p w14:paraId="1A8DDC4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第一阶段：基准模型构建 (Baseline WAM) * **模型部署：** 实现一个基础 WAM 策略作为对照组。该模型直接接收语言指令、视觉观察和机器人状态，输出底层连续动作序列，不包含显式中间推理过程。 * **任务选取：** 在仿真平台部署至少两类复杂任务，如：遮挡场景下的目标抓取、多阶段物体堆叠或长视野操作任务。 </w:t>
      </w:r>
    </w:p>
    <w:p w14:paraId="6276DCEE">
      <w:pPr>
        <w:keepNext w:val="0"/>
        <w:keepLines w:val="0"/>
        <w:widowControl/>
        <w:suppressLineNumbers w:val="0"/>
        <w:jc w:val="left"/>
        <w:rPr>
          <w:rFonts w:ascii="宋体" w:hAnsi="宋体" w:eastAsia="宋体" w:cs="宋体"/>
          <w:kern w:val="0"/>
          <w:sz w:val="24"/>
          <w:szCs w:val="24"/>
          <w:lang w:val="en-US" w:eastAsia="zh-CN" w:bidi="ar"/>
        </w:rPr>
      </w:pPr>
    </w:p>
    <w:p w14:paraId="2B0E26E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第二阶段：核心模型开发 (WAM-CoT 实现) 从以下两种主流思维链范式中**任选其一**进行研究： </w:t>
      </w:r>
    </w:p>
    <w:p w14:paraId="742EB00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**路线一：外部语义思维链 (Semantic CoT)：** 引入 VLM 作为高层规划器，生成包含物理约束分析的文本推理过程（如：“先移开重物，再抓取杯子”），再解析为子任务交由底层 WAM 执行。 </w:t>
      </w:r>
    </w:p>
    <w:p w14:paraId="75EE3AE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**路线二：内部物理思维链 (Internal Physical CoT)：** 在 WAM 内部引入 Latent Rollout 或关键状态预测。模型在输出动作前，先在潜空间生成中间物理表征，引导底层 Controller 解码动作。 </w:t>
      </w:r>
    </w:p>
    <w:p w14:paraId="67BAD311">
      <w:pPr>
        <w:keepNext w:val="0"/>
        <w:keepLines w:val="0"/>
        <w:widowControl/>
        <w:suppressLineNumbers w:val="0"/>
        <w:jc w:val="left"/>
        <w:rPr>
          <w:rFonts w:ascii="宋体" w:hAnsi="宋体" w:eastAsia="宋体" w:cs="宋体"/>
          <w:kern w:val="0"/>
          <w:sz w:val="24"/>
          <w:szCs w:val="24"/>
          <w:lang w:val="en-US" w:eastAsia="zh-CN" w:bidi="ar"/>
        </w:rPr>
      </w:pPr>
    </w:p>
    <w:p w14:paraId="097DDBD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第三阶段：实验验证与消融分析 </w:t>
      </w:r>
    </w:p>
    <w:p w14:paraId="792703D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**对比评估：** 在相同条件下对比 Baseline 与 WAM-CoT。重点评估：任务成功率、阶段成功率、平均执行步数及失败类型统计。 </w:t>
      </w:r>
    </w:p>
    <w:p w14:paraId="104BE91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**消融实验（必做）：** 验证 CoT 机制的真实贡献。例如：去除 CoT 观察模型退化、打乱子任务顺序、或去除 Latent Rollout 步数，分析性能下降情况。 </w:t>
      </w:r>
    </w:p>
    <w:p w14:paraId="48FE0AFF">
      <w:pPr>
        <w:keepNext w:val="0"/>
        <w:keepLines w:val="0"/>
        <w:widowControl/>
        <w:suppressLineNumbers w:val="0"/>
        <w:jc w:val="left"/>
        <w:rPr>
          <w:rFonts w:ascii="宋体" w:hAnsi="宋体" w:eastAsia="宋体" w:cs="宋体"/>
          <w:kern w:val="0"/>
          <w:sz w:val="24"/>
          <w:szCs w:val="24"/>
          <w:lang w:val="en-US" w:eastAsia="zh-CN" w:bidi="ar"/>
        </w:rPr>
      </w:pPr>
    </w:p>
    <w:p w14:paraId="1F2BAB4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4. 预期成果与完成标准 项目最终需形成一个具有完整报告、清晰代码和有效实验结果的 WAM-CoT 原型。 </w:t>
      </w:r>
    </w:p>
    <w:p w14:paraId="2D2418CD">
      <w:pPr>
        <w:keepNext w:val="0"/>
        <w:keepLines w:val="0"/>
        <w:widowControl/>
        <w:suppressLineNumbers w:val="0"/>
        <w:jc w:val="left"/>
        <w:rPr>
          <w:rFonts w:ascii="宋体" w:hAnsi="宋体" w:eastAsia="宋体" w:cs="宋体"/>
          <w:kern w:val="0"/>
          <w:sz w:val="24"/>
          <w:szCs w:val="24"/>
          <w:lang w:val="en-US" w:eastAsia="zh-CN" w:bidi="ar"/>
        </w:rPr>
      </w:pPr>
    </w:p>
    <w:p w14:paraId="491C34A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成果产出要求： </w:t>
      </w:r>
    </w:p>
    <w:p w14:paraId="040D03D1">
      <w:pPr>
        <w:keepNext w:val="0"/>
        <w:keepLines w:val="0"/>
        <w:widowControl/>
        <w:numPr>
          <w:ilvl w:val="0"/>
          <w:numId w:val="1"/>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**技术报告：** 包含任务定义、Baseline 与 WAM-CoT 方法设计、对比实验结果、消融实验分析及针对失败案例的机制分析。</w:t>
      </w:r>
    </w:p>
    <w:p w14:paraId="762C49CA">
      <w:pPr>
        <w:keepNext w:val="0"/>
        <w:keepLines w:val="0"/>
        <w:widowControl/>
        <w:numPr>
          <w:ilvl w:val="0"/>
          <w:numId w:val="1"/>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**完整代码仓库：** 包含环境配置说明、训练与推理脚本、数据准备脚本、评估与可视化脚本，以及结构清晰的 README。 </w:t>
      </w:r>
    </w:p>
    <w:p w14:paraId="6B4F0AAB">
      <w:pPr>
        <w:keepNext w:val="0"/>
        <w:keepLines w:val="0"/>
        <w:widowControl/>
        <w:numPr>
          <w:ilvl w:val="0"/>
          <w:numId w:val="1"/>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**实验结果文件：** 提交包含成功率统计、阶段成功率、消融对比图表、以及推理时间与计算开销统计的数据包。 </w:t>
      </w:r>
    </w:p>
    <w:p w14:paraId="6A29F234">
      <w:pPr>
        <w:keepNext w:val="0"/>
        <w:keepLines w:val="0"/>
        <w:widowControl/>
        <w:numPr>
          <w:ilvl w:val="0"/>
          <w:numId w:val="1"/>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**演示视频：** 直观展示两种策略在复杂任务中的执行对比，建议可视化 WAM-CoT 的文本思维链、子任务序列或潜空间预测过程。 </w:t>
      </w:r>
    </w:p>
    <w:p w14:paraId="217372BE">
      <w:pPr>
        <w:keepNext w:val="0"/>
        <w:keepLines w:val="0"/>
        <w:widowControl/>
        <w:numPr>
          <w:numId w:val="0"/>
        </w:numPr>
        <w:suppressLineNumbers w:val="0"/>
        <w:ind w:leftChars="0"/>
        <w:jc w:val="left"/>
      </w:pPr>
    </w:p>
    <w:p w14:paraId="67CB5221">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完成标准： </w:t>
      </w:r>
    </w:p>
    <w:p w14:paraId="48EBF8DC">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能够清楚说明 Baseline WAM 在复杂任务中的主要瓶颈。 </w:t>
      </w:r>
    </w:p>
    <w:p w14:paraId="5F29C65C">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证明 WAM-CoT 能够提升长视野或遮挡任务的成功率。 </w:t>
      </w:r>
    </w:p>
    <w:p w14:paraId="19B1B689">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确保 CoT 机制真实参与了动作生成，并具备一定程度的可解释性。 </w:t>
      </w:r>
    </w:p>
    <w:p w14:paraId="30903D41">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p>
    <w:p w14:paraId="6D1BE1C7">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5. 项目特色与可能的挑战 </w:t>
      </w:r>
    </w:p>
    <w:p w14:paraId="79A52AEA">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**机制解析：** 项目不仅关注性能，更要求分析提升是来自任务分解、遮挡理解还是错误累积的缓解。 </w:t>
      </w:r>
    </w:p>
    <w:p w14:paraId="7ABF54FB">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**技术挑战：** 如何解决长序列推理中的物理一致性、如何实现高效的试探性交互推理（Bonus 选项）等。 </w:t>
      </w:r>
    </w:p>
    <w:p w14:paraId="3E19735F">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76EAB2A9">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参考文献 (References) </w:t>
      </w:r>
    </w:p>
    <w:p w14:paraId="15C69A3F">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WAM 相关 </w:t>
      </w:r>
    </w:p>
    <w:p w14:paraId="39D33531">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**DreamZero:** World Action Models are Zero-shot Policies. arXiv:2602.15922 </w:t>
      </w:r>
    </w:p>
    <w:p w14:paraId="3BA42EEB">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**LingBot-VA:** Causal World Modeling for Robot Control. arXiv:2601.21998 </w:t>
      </w:r>
    </w:p>
    <w:p w14:paraId="53A39AD4">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**Cosmos Policy:** Fine-tuning Video Models for Visuomotor Control. arXiv:2601.16163 </w:t>
      </w:r>
    </w:p>
    <w:p w14:paraId="3CC20753">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**Fast-WAM:** Do World Action Models Need Test-time Future Imagination?. arXiv:2603.16666 </w:t>
      </w:r>
    </w:p>
    <w:p w14:paraId="337AAAC0">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p>
    <w:p w14:paraId="55F77E53">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CoT-VLA 典型 </w:t>
      </w:r>
    </w:p>
    <w:p w14:paraId="09E94B85">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**CoT-VLA:** Visual Chain-of-Thought Reasoning for Vision-Language-Action Models. arXiv:2503.22020 </w:t>
      </w:r>
    </w:p>
    <w:p w14:paraId="7F0ECE9A">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p>
    <w:p w14:paraId="15B70BA7">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仿真环境 </w:t>
      </w:r>
    </w:p>
    <w:p w14:paraId="26F2658F">
      <w:pPr>
        <w:keepNext w:val="0"/>
        <w:keepLines w:val="0"/>
        <w:widowControl/>
        <w:numPr>
          <w:numId w:val="0"/>
        </w:numPr>
        <w:suppressLineNumbers w:val="0"/>
        <w:ind w:left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**RoboCasa:** Large-Scale Simulation of Everyday Tasks for Generalist Robots. arXiv:2406.02523 </w:t>
      </w:r>
    </w:p>
    <w:p w14:paraId="2EBF6136">
      <w:pPr>
        <w:keepNext w:val="0"/>
        <w:keepLines w:val="0"/>
        <w:widowControl/>
        <w:numPr>
          <w:numId w:val="0"/>
        </w:numPr>
        <w:suppressLineNumbers w:val="0"/>
        <w:ind w:leftChars="0"/>
        <w:jc w:val="left"/>
      </w:pPr>
      <w:bookmarkStart w:id="0" w:name="_GoBack"/>
      <w:bookmarkEnd w:id="0"/>
      <w:r>
        <w:rPr>
          <w:rFonts w:ascii="宋体" w:hAnsi="宋体" w:eastAsia="宋体" w:cs="宋体"/>
          <w:kern w:val="0"/>
          <w:sz w:val="24"/>
          <w:szCs w:val="24"/>
          <w:lang w:val="en-US" w:eastAsia="zh-CN" w:bidi="ar"/>
        </w:rPr>
        <w:t>* **RoboTwin 2.0:** A Scalable Data Generator and Benchmark with Strong Domain Randomization for Robust Bimanual Robotic Manipulation. arXiv:2506.18088</w:t>
      </w:r>
    </w:p>
    <w:p w14:paraId="6D4DB8F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19DE0"/>
    <w:multiLevelType w:val="singleLevel"/>
    <w:tmpl w:val="81A19DE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B11F5E"/>
    <w:rsid w:val="0F7F6343"/>
    <w:rsid w:val="12282CC2"/>
    <w:rsid w:val="12E3308D"/>
    <w:rsid w:val="1537146E"/>
    <w:rsid w:val="162D4D4B"/>
    <w:rsid w:val="169F1079"/>
    <w:rsid w:val="19616ABA"/>
    <w:rsid w:val="1C6C7C4F"/>
    <w:rsid w:val="1F817EB6"/>
    <w:rsid w:val="23EE693F"/>
    <w:rsid w:val="2A88034A"/>
    <w:rsid w:val="2EB23BE8"/>
    <w:rsid w:val="30B005FB"/>
    <w:rsid w:val="34B32468"/>
    <w:rsid w:val="35906305"/>
    <w:rsid w:val="4B7324F9"/>
    <w:rsid w:val="4C196BFC"/>
    <w:rsid w:val="59496002"/>
    <w:rsid w:val="679A2E90"/>
    <w:rsid w:val="75EF43A6"/>
    <w:rsid w:val="7EE36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2026-05-11T14:22:04Z</dcterms:created>
  <dc:creator>黄妍颖</dc:creator>
  <cp:lastModifiedBy>Jimmorri</cp:lastModifiedBy>
  <dcterms:modified xsi:type="dcterms:W3CDTF">2026-05-11T14:29:48Z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eyJoZGlkIjoiMzEwNTM5NzYwMDRjMzkwZTVkZjY2ODkwMGIxNGU0OTUiLCJ1c2VySWQiOiI0MzI4NjMzNjEifQ==</vt:lpwstr>
  </property>
  <property fmtid="{D5CDD505-2E9C-101B-9397-08002B2CF9AE}" pid="4" name="ICV">
    <vt:lpwstr>ECD195C021284D62A857B69296DD2637_12</vt:lpwstr>
  </property>
</Properties>
</file>