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  <w:r>
        <w:t xml:space="preserve"> </w:t>
      </w:r>
      <w:r>
        <w:t xml:space="preserve">-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11</w:t>
      </w:r>
    </w:p>
    <w:p>
      <w:pPr>
        <w:pStyle w:val="Author"/>
      </w:pPr>
      <w:r>
        <w:t xml:space="preserve">Аздаев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уравнение гармонического осцилятора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решение уравнения гармонического осциллятора без затухания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теоретические-свед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 Эта модель называется линейным гармоническим осциллятором.</w:t>
      </w:r>
      <w:r>
        <w:t xml:space="preserve"> </w:t>
      </w: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-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- собственная частота колебаний.</w:t>
      </w:r>
      <w:r>
        <w:t xml:space="preserve"> </w:t>
      </w:r>
      <w:r>
        <w:t xml:space="preserve">Это уравнение есть линейное однородное дифференциальное уравнение второго порядка и оно является примером линейной динамической системы.</w:t>
      </w:r>
    </w:p>
    <w:p>
      <w:pPr>
        <w:pStyle w:val="BodyText"/>
      </w:pPr>
      <w:r>
        <w:t xml:space="preserve">При отсутствии потерь в системе (</w:t>
      </w:r>
      <w:r>
        <w:t xml:space="preserve"> </w:t>
      </w:r>
      <m:oMath>
        <m:r>
          <m:t>γ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) получаем уравнение консервативного осциллятора энергия колебания которого сохраняется во времени.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Для однозначной разрешимости уравнения второго порядка необходимо задать два начальных условия вида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  <m:r>
                          <m:rPr>
                            <m:sty m:val="p"/>
                          </m:rPr>
                          <m:t>(</m:t>
                        </m:r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второго порядка можно представить в виде системы двух уравнений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системы примут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Независимые переменные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определяют пространство, в котором «движется» решение. Это фазовое пространство системы, поскольку оно двумерно будем называть его фазовой плоскостью.</w:t>
      </w:r>
      <w:r>
        <w:t xml:space="preserve"> </w:t>
      </w:r>
      <w:r>
        <w:t xml:space="preserve">Значение фазовых координат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в любой момент времени 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</w:t>
      </w:r>
      <w:r>
        <w:t xml:space="preserve"> </w:t>
      </w:r>
      <w:r>
        <w:t xml:space="preserve">начальным условиям) изобразить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bookmarkEnd w:id="22"/>
    <w:bookmarkStart w:id="35" w:name="задач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Задача</w:t>
      </w:r>
    </w:p>
    <w:p>
      <w:pPr>
        <w:pStyle w:val="FirstParagraph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</w:t>
      </w:r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без затуханий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12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10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5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под действием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7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7</m:t>
        </m:r>
        <m:r>
          <m:t>x</m:t>
        </m:r>
        <m:r>
          <m:rPr>
            <m:sty m:val="p"/>
          </m:rPr>
          <m:t>=</m:t>
        </m:r>
        <m:r>
          <m:t>7</m:t>
        </m:r>
        <m:r>
          <m:rPr>
            <m:nor/>
            <m:sty m:val="p"/>
          </m:rPr>
          <m:t>sin</m:t>
        </m:r>
        <m:r>
          <m:t>3</m:t>
        </m:r>
        <m:r>
          <m:t>t</m:t>
        </m:r>
      </m:oMath>
    </w:p>
    <w:p>
      <w:pPr>
        <w:pStyle w:val="FirstParagraph"/>
      </w:pPr>
      <w:r>
        <w:t xml:space="preserve">На итнтервале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60</m:t>
        </m:r>
        <m:r>
          <m:rPr>
            <m:sty m:val="p"/>
          </m:rPr>
          <m:t>]</m:t>
        </m:r>
      </m:oMath>
      <w:r>
        <w:t xml:space="preserve">, шаг 0.05,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2</m:t>
        </m:r>
      </m:oMath>
    </w:p>
    <w:p>
      <w:pPr>
        <w:numPr>
          <w:ilvl w:val="0"/>
          <w:numId w:val="1003"/>
        </w:numPr>
        <w:pStyle w:val="Compact"/>
      </w:pPr>
      <w:r>
        <w:t xml:space="preserve">В системе отсутствуют потери энергии (колебания без затухания)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from scipy. integrate import odeint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math</w:t>
      </w:r>
      <w:r>
        <w:br/>
      </w:r>
      <w:r>
        <w:br/>
      </w:r>
      <w:r>
        <w:rPr>
          <w:rStyle w:val="VerbatimChar"/>
        </w:rPr>
        <w:t xml:space="preserve">w2 = 12</w:t>
      </w:r>
      <w:r>
        <w:br/>
      </w:r>
      <w:r>
        <w:rPr>
          <w:rStyle w:val="VerbatimChar"/>
        </w:rPr>
        <w:t xml:space="preserve">tmax = 60</w:t>
      </w:r>
      <w:r>
        <w:br/>
      </w:r>
      <w:r>
        <w:rPr>
          <w:rStyle w:val="VerbatimChar"/>
        </w:rPr>
        <w:t xml:space="preserve">step = 0.05</w:t>
      </w:r>
      <w:r>
        <w:br/>
      </w:r>
      <w:r>
        <w:rPr>
          <w:rStyle w:val="VerbatimChar"/>
        </w:rPr>
        <w:t xml:space="preserve">y0 = [1, 2]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fig.savefig('01.png',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fig2.savefig('02.png', dpi = 600)</w:t>
      </w:r>
    </w:p>
    <w:p>
      <w:pPr>
        <w:pStyle w:val="CaptionedFigure"/>
      </w:pPr>
      <w:bookmarkStart w:id="24" w:name="fig:001"/>
      <w:r>
        <w:drawing>
          <wp:inline>
            <wp:extent cx="5334000" cy="3556000"/>
            <wp:effectExtent b="0" l="0" r="0" t="0"/>
            <wp:docPr descr="Figure 1: График решения для случая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График решения для случая 1</w:t>
      </w:r>
    </w:p>
    <w:p>
      <w:pPr>
        <w:pStyle w:val="CaptionedFigure"/>
      </w:pPr>
      <w:bookmarkStart w:id="26" w:name="fig:002"/>
      <w:r>
        <w:drawing>
          <wp:inline>
            <wp:extent cx="5334000" cy="3556000"/>
            <wp:effectExtent b="0" l="0" r="0" t="0"/>
            <wp:docPr descr="Figure 2: Фазовый портрет для случая 1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Фазовый портрет для случая 1</w:t>
      </w:r>
    </w:p>
    <w:p>
      <w:pPr>
        <w:numPr>
          <w:ilvl w:val="0"/>
          <w:numId w:val="1004"/>
        </w:numPr>
        <w:pStyle w:val="Compact"/>
      </w:pPr>
      <w:r>
        <w:t xml:space="preserve">В системе присутствуют потери энергии (колебания с затуханием)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10</w:t>
      </w:r>
      <w:r>
        <w:br/>
      </w:r>
      <w:r>
        <w:rPr>
          <w:rStyle w:val="VerbatimChar"/>
        </w:rPr>
        <w:t xml:space="preserve">g = 5</w:t>
      </w:r>
      <w:r>
        <w:br/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fig.savefig('03.png',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fig2.savefig('04.png', dpi = 600)</w:t>
      </w:r>
    </w:p>
    <w:p>
      <w:pPr>
        <w:pStyle w:val="CaptionedFigure"/>
      </w:pPr>
      <w:bookmarkStart w:id="28" w:name="fig:003"/>
      <w:r>
        <w:drawing>
          <wp:inline>
            <wp:extent cx="5334000" cy="3556000"/>
            <wp:effectExtent b="0" l="0" r="0" t="0"/>
            <wp:docPr descr="Figure 3: График решения для случая 2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График решения для случая 2</w:t>
      </w:r>
    </w:p>
    <w:p>
      <w:pPr>
        <w:pStyle w:val="CaptionedFigure"/>
      </w:pPr>
      <w:bookmarkStart w:id="30" w:name="fig:004"/>
      <w:r>
        <w:drawing>
          <wp:inline>
            <wp:extent cx="5334000" cy="3556000"/>
            <wp:effectExtent b="0" l="0" r="0" t="0"/>
            <wp:docPr descr="Figure 4: Фазовый портрет для случая 2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Фазовый портрет для случая 2</w:t>
      </w:r>
    </w:p>
    <w:p>
      <w:pPr>
        <w:numPr>
          <w:ilvl w:val="0"/>
          <w:numId w:val="1005"/>
        </w:numPr>
        <w:pStyle w:val="Compact"/>
      </w:pPr>
      <w:r>
        <w:t xml:space="preserve">На систему действует внешняя сила.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F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7 </w:t>
      </w:r>
      <w:r>
        <w:br/>
      </w:r>
      <w:r>
        <w:rPr>
          <w:rStyle w:val="VerbatimChar"/>
        </w:rPr>
        <w:t xml:space="preserve">g = 7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7*math.sin(3*t)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+ f(t)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fig.savefig('05.png',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fig2.savefig('06.png', dpi = 600)</w:t>
      </w:r>
    </w:p>
    <w:p>
      <w:pPr>
        <w:pStyle w:val="CaptionedFigure"/>
      </w:pPr>
      <w:bookmarkStart w:id="32" w:name="fig:005"/>
      <w:r>
        <w:drawing>
          <wp:inline>
            <wp:extent cx="5334000" cy="3556000"/>
            <wp:effectExtent b="0" l="0" r="0" t="0"/>
            <wp:docPr descr="Figure 5: График решения для случая 3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График решения для случая 3</w:t>
      </w:r>
    </w:p>
    <w:p>
      <w:pPr>
        <w:pStyle w:val="CaptionedFigure"/>
      </w:pPr>
      <w:bookmarkStart w:id="34" w:name="fig:006"/>
      <w:r>
        <w:drawing>
          <wp:inline>
            <wp:extent cx="5334000" cy="3556000"/>
            <wp:effectExtent b="0" l="0" r="0" t="0"/>
            <wp:docPr descr="Figure 6: Фазовый портрет для случая 3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Фазовый портрет для случая 3</w:t>
      </w:r>
    </w:p>
    <w:bookmarkEnd w:id="35"/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затухания, с затуханием и при действии внешней силы.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Аздаев Дмитрий Александрович НФИбд-01-18</dc:creator>
  <dc:language>ru-RU</dc:language>
  <cp:keywords/>
  <dcterms:created xsi:type="dcterms:W3CDTF">2021-03-01T13:40:09Z</dcterms:created>
  <dcterms:modified xsi:type="dcterms:W3CDTF">2021-03-01T13:40:09Z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Модель гармонических колебаний - вариант 11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