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40" w:lineRule="auto"/>
        <w:jc w:val="center"/>
      </w:pPr>
      <w:r>
        <w:rPr>
          <w:rFonts w:ascii="Times New Roman" w:hAnsi="Times New Roman" w:eastAsia="Times New Roman"/>
          <w:b/>
          <w:i w:val="0"/>
          <w:sz w:val="48"/>
        </w:rPr>
        <w:t>Agentic Artificial Intelligence: A Literature Review</w:t>
      </w:r>
    </w:p>
    <w:p>
      <w:pPr>
        <w:spacing w:after="40" w:line="240" w:lineRule="auto"/>
        <w:jc w:val="center"/>
      </w:pPr>
      <w:r>
        <w:rPr>
          <w:rFonts w:ascii="Times New Roman" w:hAnsi="Times New Roman" w:eastAsia="Times New Roman"/>
          <w:b w:val="0"/>
          <w:i/>
          <w:sz w:val="22"/>
        </w:rPr>
        <w:t>Research Student</w:t>
      </w:r>
    </w:p>
    <w:p>
      <w:pPr>
        <w:spacing w:after="40" w:line="240" w:lineRule="auto"/>
        <w:jc w:val="center"/>
      </w:pPr>
      <w:r>
        <w:rPr>
          <w:rFonts w:ascii="Times New Roman" w:hAnsi="Times New Roman" w:eastAsia="Times New Roman"/>
          <w:b w:val="0"/>
          <w:i/>
          <w:sz w:val="18"/>
        </w:rPr>
        <w:t>Department of Computer Science and Engineering</w:t>
      </w:r>
    </w:p>
    <w:p>
      <w:pPr>
        <w:spacing w:after="240" w:line="240" w:lineRule="auto"/>
        <w:jc w:val="center"/>
      </w:pPr>
      <w:r>
        <w:rPr>
          <w:rFonts w:ascii="Times New Roman" w:hAnsi="Times New Roman" w:eastAsia="Times New Roman"/>
          <w:b w:val="0"/>
          <w:i/>
          <w:sz w:val="18"/>
        </w:rPr>
        <w:t>Email: student@university.edu</w:t>
      </w:r>
    </w:p>
    <w:p>
      <w:pPr>
        <w:spacing w:after="120"/>
        <w:jc w:val="both"/>
      </w:pPr>
      <w:r>
        <w:rPr>
          <w:rFonts w:ascii="Times New Roman" w:hAnsi="Times New Roman" w:eastAsia="Times New Roman"/>
          <w:b/>
          <w:i/>
          <w:sz w:val="20"/>
        </w:rPr>
        <w:t>Abstract—</w:t>
      </w:r>
      <w:r>
        <w:rPr>
          <w:rFonts w:ascii="Times New Roman" w:hAnsi="Times New Roman" w:eastAsia="Times New Roman"/>
          <w:b w:val="0"/>
          <w:i w:val="0"/>
          <w:sz w:val="20"/>
        </w:rPr>
        <w:t>Agentic artificial intelligence (AI) refers to systems that extend large language models (LLMs) with autonomous planning, tool use, memory, and multi-step interaction to pursue complex goals in dynamic environments. This literature review synthesizes recent academic and industry research on agentic AI, spanning foundational paradigms such as ReAct and Toolformer, architectural frameworks including LangGraph and AutoGen, evaluation benchmarks such as AgentBench and GAIA, and emerging protocols for tool connectivity and multi-agent coordination. We organize the literature along three axes—reasoning, acting, and interacting—and discuss open challenges in evaluation methodology, safety, cost efficiency, and reproducibility. The review concludes with research directions for building reliable, controllable, and production-ready agentic systems.</w:t>
      </w:r>
    </w:p>
    <w:p>
      <w:pPr>
        <w:spacing w:after="200"/>
        <w:jc w:val="both"/>
      </w:pPr>
      <w:r>
        <w:rPr>
          <w:rFonts w:ascii="Times New Roman" w:hAnsi="Times New Roman" w:eastAsia="Times New Roman"/>
          <w:b/>
          <w:i/>
          <w:sz w:val="20"/>
        </w:rPr>
        <w:t>Index Terms—</w:t>
      </w:r>
      <w:r>
        <w:rPr>
          <w:rFonts w:ascii="Times New Roman" w:hAnsi="Times New Roman" w:eastAsia="Times New Roman"/>
          <w:b w:val="0"/>
          <w:i w:val="0"/>
          <w:sz w:val="20"/>
        </w:rPr>
        <w:t>Agentic AI, large language models, autonomous agents, ReAct, multi-agent systems, tool use, evaluation benchmarks, literature review.</w:t>
      </w:r>
    </w:p>
    <w:p>
      <w:pPr>
        <w:spacing w:before="120" w:after="80"/>
      </w:pPr>
      <w:r>
        <w:rPr>
          <w:rFonts w:ascii="Times New Roman" w:hAnsi="Times New Roman" w:eastAsia="Times New Roman"/>
          <w:b/>
          <w:i w:val="0"/>
          <w:sz w:val="20"/>
        </w:rPr>
        <w:t>I. INTRODUCTION</w:t>
      </w:r>
    </w:p>
    <w:p>
      <w:pPr>
        <w:spacing w:after="120" w:line="240" w:lineRule="auto"/>
        <w:jc w:val="both"/>
      </w:pPr>
      <w:r>
        <w:rPr>
          <w:rFonts w:ascii="Times New Roman" w:hAnsi="Times New Roman" w:eastAsia="Times New Roman"/>
          <w:b w:val="0"/>
          <w:i w:val="0"/>
          <w:sz w:val="20"/>
        </w:rPr>
        <w:t>The emergence of large language models (LLMs) has catalyzed a paradigm shift from passive text generation toward autonomous, goal-directed artificial intelligence. Agentic AI denotes systems in which an LLM serves as a cognitive controller that perceives context, reasons about goals, selects actions, invokes external tools, and adapts behavior through environmental feedback over extended trajectories [1], [2]. Unlike traditional NLP pipelines that map inputs to single outputs, agentic systems operate in closed-loop control cycles, pursuing multi-step objectives in software environments, web interfaces, scientific workflows, and enterprise automation [3].</w:t>
      </w:r>
    </w:p>
    <w:p>
      <w:pPr>
        <w:spacing w:after="120" w:line="240" w:lineRule="auto"/>
        <w:jc w:val="both"/>
      </w:pPr>
      <w:r>
        <w:rPr>
          <w:rFonts w:ascii="Times New Roman" w:hAnsi="Times New Roman" w:eastAsia="Times New Roman"/>
          <w:b w:val="0"/>
          <w:i w:val="0"/>
          <w:sz w:val="20"/>
        </w:rPr>
        <w:t>This review addresses the rapid proliferation of surveys, benchmarks, and frameworks that has nonetheless left the field fragmented. Wang et al. [1] provide a holistic survey of LLM-based autonomous agents, while Pati [4] offers a comprehensive treatment of technologies and societal implications published in IEEE Access. More recent work by Xi et al. [2] categorizes agentic LLMs along reasoning, acting, and interacting dimensions, and Guo et al. [5] formalize agentic architectures using partially observable Markov decision process (POMDP) control loops. Our contribution is to synthesize these perspectives into a unified literature review suitable for researchers entering the field, with emphasis on architectural patterns, evaluation practice, and deployment challenges. An interactive companion guide (agentic_ai_explorer.html) provides curated papers, frameworks, and a structured learning path.</w:t>
      </w:r>
    </w:p>
    <w:p>
      <w:pPr>
        <w:spacing w:before="120" w:after="80"/>
      </w:pPr>
      <w:r>
        <w:rPr>
          <w:rFonts w:ascii="Times New Roman" w:hAnsi="Times New Roman" w:eastAsia="Times New Roman"/>
          <w:b/>
          <w:i w:val="0"/>
          <w:sz w:val="20"/>
        </w:rPr>
        <w:t>II. RELATED WORK</w:t>
      </w:r>
    </w:p>
    <w:p>
      <w:pPr>
        <w:spacing w:after="120" w:line="240" w:lineRule="auto"/>
        <w:jc w:val="both"/>
      </w:pPr>
      <w:r>
        <w:rPr>
          <w:rFonts w:ascii="Times New Roman" w:hAnsi="Times New Roman" w:eastAsia="Times New Roman"/>
          <w:b w:val="0"/>
          <w:i w:val="0"/>
          <w:sz w:val="20"/>
        </w:rPr>
        <w:t>Prior surveys address complementary facets of the agentic AI landscape. Wang et al. [1] survey LLM-based autonomous agents with emphasis on construction and applications. Xi et al. [2] organize agentic LLMs along reasoning, acting, and interacting axes. Pati [4] publishes a broad IEEE Access survey covering societal implications. Guo et al. [5] adopt an engineering-focused POMDP control-loop perspective. Chen et al. [20] review multi-agent collaboration, while recent evaluation surveys [3], [7] stress multi-dimensional benchmarking. Table III positions this review relative to prior work.</w:t>
      </w:r>
    </w:p>
    <w:p>
      <w:pPr>
        <w:jc w:val="center"/>
      </w:pPr>
      <w:r>
        <w:rPr>
          <w:rFonts w:ascii="Times New Roman" w:hAnsi="Times New Roman" w:eastAsia="Times New Roman"/>
          <w:b w:val="0"/>
          <w:i/>
          <w:sz w:val="18"/>
        </w:rPr>
        <w:t>TABLE III</w:t>
        <w:br/>
        <w:t>COMPARISON WITH PRIOR SURVEYS</w:t>
      </w:r>
    </w:p>
    <w:tbl>
      <w:tblPr>
        <w:tblStyle w:val="TableGrid"/>
        <w:tblW w:type="auto" w:w="0"/>
        <w:tblLook w:firstColumn="1" w:firstRow="1" w:lastColumn="0" w:lastRow="0" w:noHBand="0" w:noVBand="1" w:val="04A0"/>
      </w:tblPr>
      <w:tblGrid>
        <w:gridCol w:w="3407"/>
        <w:gridCol w:w="3407"/>
        <w:gridCol w:w="3407"/>
      </w:tblGrid>
      <w:tr>
        <w:tc>
          <w:tcPr>
            <w:tcW w:type="dxa" w:w="3407"/>
          </w:tcPr>
          <w:p>
            <w:pPr>
              <w:jc w:val="center"/>
            </w:pPr>
            <w:r>
              <w:rPr>
                <w:rFonts w:ascii="Times New Roman" w:hAnsi="Times New Roman" w:eastAsia="Times New Roman"/>
                <w:b/>
                <w:i w:val="0"/>
                <w:sz w:val="18"/>
              </w:rPr>
              <w:t>Survey</w:t>
            </w:r>
          </w:p>
        </w:tc>
        <w:tc>
          <w:tcPr>
            <w:tcW w:type="dxa" w:w="3407"/>
          </w:tcPr>
          <w:p>
            <w:pPr>
              <w:jc w:val="center"/>
            </w:pPr>
            <w:r>
              <w:rPr>
                <w:rFonts w:ascii="Times New Roman" w:hAnsi="Times New Roman" w:eastAsia="Times New Roman"/>
                <w:b/>
                <w:i w:val="0"/>
                <w:sz w:val="18"/>
              </w:rPr>
              <w:t>Focus</w:t>
            </w:r>
          </w:p>
        </w:tc>
        <w:tc>
          <w:tcPr>
            <w:tcW w:type="dxa" w:w="3407"/>
          </w:tcPr>
          <w:p>
            <w:pPr>
              <w:jc w:val="center"/>
            </w:pPr>
            <w:r>
              <w:rPr>
                <w:rFonts w:ascii="Times New Roman" w:hAnsi="Times New Roman" w:eastAsia="Times New Roman"/>
                <w:b/>
                <w:i w:val="0"/>
                <w:sz w:val="18"/>
              </w:rPr>
              <w:t>Year</w:t>
            </w:r>
          </w:p>
        </w:tc>
      </w:tr>
      <w:tr>
        <w:tc>
          <w:tcPr>
            <w:tcW w:type="dxa" w:w="3407"/>
          </w:tcPr>
          <w:p>
            <w:r>
              <w:rPr>
                <w:rFonts w:ascii="Times New Roman" w:hAnsi="Times New Roman" w:eastAsia="Times New Roman"/>
                <w:b w:val="0"/>
                <w:i w:val="0"/>
                <w:sz w:val="18"/>
              </w:rPr>
              <w:t>Wang et al. [1]</w:t>
            </w:r>
          </w:p>
        </w:tc>
        <w:tc>
          <w:tcPr>
            <w:tcW w:type="dxa" w:w="3407"/>
          </w:tcPr>
          <w:p>
            <w:r>
              <w:rPr>
                <w:rFonts w:ascii="Times New Roman" w:hAnsi="Times New Roman" w:eastAsia="Times New Roman"/>
                <w:b w:val="0"/>
                <w:i w:val="0"/>
                <w:sz w:val="18"/>
              </w:rPr>
              <w:t>Construction &amp; applications</w:t>
            </w:r>
          </w:p>
        </w:tc>
        <w:tc>
          <w:tcPr>
            <w:tcW w:type="dxa" w:w="3407"/>
          </w:tcPr>
          <w:p>
            <w:r>
              <w:rPr>
                <w:rFonts w:ascii="Times New Roman" w:hAnsi="Times New Roman" w:eastAsia="Times New Roman"/>
                <w:b w:val="0"/>
                <w:i w:val="0"/>
                <w:sz w:val="18"/>
              </w:rPr>
              <w:t>2024</w:t>
            </w:r>
          </w:p>
        </w:tc>
      </w:tr>
      <w:tr>
        <w:tc>
          <w:tcPr>
            <w:tcW w:type="dxa" w:w="3407"/>
          </w:tcPr>
          <w:p>
            <w:r>
              <w:rPr>
                <w:rFonts w:ascii="Times New Roman" w:hAnsi="Times New Roman" w:eastAsia="Times New Roman"/>
                <w:b w:val="0"/>
                <w:i w:val="0"/>
                <w:sz w:val="18"/>
              </w:rPr>
              <w:t>Xi et al. [2]</w:t>
            </w:r>
          </w:p>
        </w:tc>
        <w:tc>
          <w:tcPr>
            <w:tcW w:type="dxa" w:w="3407"/>
          </w:tcPr>
          <w:p>
            <w:r>
              <w:rPr>
                <w:rFonts w:ascii="Times New Roman" w:hAnsi="Times New Roman" w:eastAsia="Times New Roman"/>
                <w:b w:val="0"/>
                <w:i w:val="0"/>
                <w:sz w:val="18"/>
              </w:rPr>
              <w:t>Reasoning/acting/interacting</w:t>
            </w:r>
          </w:p>
        </w:tc>
        <w:tc>
          <w:tcPr>
            <w:tcW w:type="dxa" w:w="3407"/>
          </w:tcPr>
          <w:p>
            <w:r>
              <w:rPr>
                <w:rFonts w:ascii="Times New Roman" w:hAnsi="Times New Roman" w:eastAsia="Times New Roman"/>
                <w:b w:val="0"/>
                <w:i w:val="0"/>
                <w:sz w:val="18"/>
              </w:rPr>
              <w:t>2025</w:t>
            </w:r>
          </w:p>
        </w:tc>
      </w:tr>
      <w:tr>
        <w:tc>
          <w:tcPr>
            <w:tcW w:type="dxa" w:w="3407"/>
          </w:tcPr>
          <w:p>
            <w:r>
              <w:rPr>
                <w:rFonts w:ascii="Times New Roman" w:hAnsi="Times New Roman" w:eastAsia="Times New Roman"/>
                <w:b w:val="0"/>
                <w:i w:val="0"/>
                <w:sz w:val="18"/>
              </w:rPr>
              <w:t>Pati [4]</w:t>
            </w:r>
          </w:p>
        </w:tc>
        <w:tc>
          <w:tcPr>
            <w:tcW w:type="dxa" w:w="3407"/>
          </w:tcPr>
          <w:p>
            <w:r>
              <w:rPr>
                <w:rFonts w:ascii="Times New Roman" w:hAnsi="Times New Roman" w:eastAsia="Times New Roman"/>
                <w:b w:val="0"/>
                <w:i w:val="0"/>
                <w:sz w:val="18"/>
              </w:rPr>
              <w:t>Technologies &amp; society (IEEE)</w:t>
            </w:r>
          </w:p>
        </w:tc>
        <w:tc>
          <w:tcPr>
            <w:tcW w:type="dxa" w:w="3407"/>
          </w:tcPr>
          <w:p>
            <w:r>
              <w:rPr>
                <w:rFonts w:ascii="Times New Roman" w:hAnsi="Times New Roman" w:eastAsia="Times New Roman"/>
                <w:b w:val="0"/>
                <w:i w:val="0"/>
                <w:sz w:val="18"/>
              </w:rPr>
              <w:t>2025</w:t>
            </w:r>
          </w:p>
        </w:tc>
      </w:tr>
      <w:tr>
        <w:tc>
          <w:tcPr>
            <w:tcW w:type="dxa" w:w="3407"/>
          </w:tcPr>
          <w:p>
            <w:r>
              <w:rPr>
                <w:rFonts w:ascii="Times New Roman" w:hAnsi="Times New Roman" w:eastAsia="Times New Roman"/>
                <w:b w:val="0"/>
                <w:i w:val="0"/>
                <w:sz w:val="18"/>
              </w:rPr>
              <w:t>Guo et al. [5]</w:t>
            </w:r>
          </w:p>
        </w:tc>
        <w:tc>
          <w:tcPr>
            <w:tcW w:type="dxa" w:w="3407"/>
          </w:tcPr>
          <w:p>
            <w:r>
              <w:rPr>
                <w:rFonts w:ascii="Times New Roman" w:hAnsi="Times New Roman" w:eastAsia="Times New Roman"/>
                <w:b w:val="0"/>
                <w:i w:val="0"/>
                <w:sz w:val="18"/>
              </w:rPr>
              <w:t>Architecture &amp; POMDP loop</w:t>
            </w:r>
          </w:p>
        </w:tc>
        <w:tc>
          <w:tcPr>
            <w:tcW w:type="dxa" w:w="3407"/>
          </w:tcPr>
          <w:p>
            <w:r>
              <w:rPr>
                <w:rFonts w:ascii="Times New Roman" w:hAnsi="Times New Roman" w:eastAsia="Times New Roman"/>
                <w:b w:val="0"/>
                <w:i w:val="0"/>
                <w:sz w:val="18"/>
              </w:rPr>
              <w:t>2026</w:t>
            </w:r>
          </w:p>
        </w:tc>
      </w:tr>
      <w:tr>
        <w:tc>
          <w:tcPr>
            <w:tcW w:type="dxa" w:w="3407"/>
          </w:tcPr>
          <w:p>
            <w:r>
              <w:rPr>
                <w:rFonts w:ascii="Times New Roman" w:hAnsi="Times New Roman" w:eastAsia="Times New Roman"/>
                <w:b w:val="0"/>
                <w:i w:val="0"/>
                <w:sz w:val="18"/>
              </w:rPr>
              <w:t>This review</w:t>
            </w:r>
          </w:p>
        </w:tc>
        <w:tc>
          <w:tcPr>
            <w:tcW w:type="dxa" w:w="3407"/>
          </w:tcPr>
          <w:p>
            <w:r>
              <w:rPr>
                <w:rFonts w:ascii="Times New Roman" w:hAnsi="Times New Roman" w:eastAsia="Times New Roman"/>
                <w:b w:val="0"/>
                <w:i w:val="0"/>
                <w:sz w:val="18"/>
              </w:rPr>
              <w:t>Unified synthesis + evaluation</w:t>
            </w:r>
          </w:p>
        </w:tc>
        <w:tc>
          <w:tcPr>
            <w:tcW w:type="dxa" w:w="3407"/>
          </w:tcPr>
          <w:p>
            <w:r>
              <w:rPr>
                <w:rFonts w:ascii="Times New Roman" w:hAnsi="Times New Roman" w:eastAsia="Times New Roman"/>
                <w:b w:val="0"/>
                <w:i w:val="0"/>
                <w:sz w:val="18"/>
              </w:rPr>
              <w:t>2026</w:t>
            </w:r>
          </w:p>
        </w:tc>
      </w:tr>
    </w:tbl>
    <w:p/>
    <w:p>
      <w:pPr>
        <w:spacing w:before="120" w:after="80"/>
      </w:pPr>
      <w:r>
        <w:rPr>
          <w:rFonts w:ascii="Times New Roman" w:hAnsi="Times New Roman" w:eastAsia="Times New Roman"/>
          <w:b/>
          <w:i w:val="0"/>
          <w:sz w:val="20"/>
        </w:rPr>
        <w:t>III. BACKGROUND AND DEFINITIONS</w:t>
      </w:r>
    </w:p>
    <w:p>
      <w:pPr>
        <w:spacing w:before="80" w:after="40"/>
      </w:pPr>
      <w:r>
        <w:rPr>
          <w:rFonts w:ascii="Times New Roman" w:hAnsi="Times New Roman" w:eastAsia="Times New Roman"/>
          <w:b/>
          <w:i/>
          <w:sz w:val="20"/>
        </w:rPr>
        <w:t>A. From LLMs to Agents</w:t>
      </w:r>
    </w:p>
    <w:p>
      <w:pPr>
        <w:spacing w:after="120" w:line="240" w:lineRule="auto"/>
        <w:jc w:val="both"/>
      </w:pPr>
      <w:r>
        <w:rPr>
          <w:rFonts w:ascii="Times New Roman" w:hAnsi="Times New Roman" w:eastAsia="Times New Roman"/>
          <w:b w:val="0"/>
          <w:i w:val="0"/>
          <w:sz w:val="20"/>
        </w:rPr>
        <w:t>Classical autonomous agents in AI research operated within isolated environments with hand-crafted knowledge representations [1]. LLMs pretrained on web-scale corpora provide a qualitatively different foundation: broad world knowledge, in-context learning, and natural-language interfaces that lower the barrier to tool integration [6]. An LLM agent typically comprises four modules: a profile (role and constraints), memory (short- and long-term), planning (decomposition and reflection), and action (tool invocation and environment interaction) [1], [5].</w:t>
      </w:r>
    </w:p>
    <w:p>
      <w:pPr>
        <w:spacing w:before="80" w:after="40"/>
      </w:pPr>
      <w:r>
        <w:rPr>
          <w:rFonts w:ascii="Times New Roman" w:hAnsi="Times New Roman" w:eastAsia="Times New Roman"/>
          <w:b/>
          <w:i/>
          <w:sz w:val="20"/>
        </w:rPr>
        <w:t>B. Agentic AI vs. Generative AI</w:t>
      </w:r>
    </w:p>
    <w:p>
      <w:pPr>
        <w:spacing w:after="120" w:line="240" w:lineRule="auto"/>
        <w:jc w:val="both"/>
      </w:pPr>
      <w:r>
        <w:rPr>
          <w:rFonts w:ascii="Times New Roman" w:hAnsi="Times New Roman" w:eastAsia="Times New Roman"/>
          <w:b w:val="0"/>
          <w:i w:val="0"/>
          <w:sz w:val="20"/>
        </w:rPr>
        <w:t>Generative AI focuses on producing content—text, code, or images—from prompts. Agentic AI extends generation with agency: the capacity to observe state changes, revise plans, and execute sequences of operations until a termination condition is met [4], [7]. Recent surveys argue that enterprise adoption hinges on evaluating not only output quality but also latency, cost, reliability, safety, and multi-agent coordination under production constraints [7], [8].</w:t>
      </w:r>
    </w:p>
    <w:p>
      <w:pPr>
        <w:spacing w:before="80" w:after="40"/>
      </w:pPr>
      <w:r>
        <w:rPr>
          <w:rFonts w:ascii="Times New Roman" w:hAnsi="Times New Roman" w:eastAsia="Times New Roman"/>
          <w:b/>
          <w:i/>
          <w:sz w:val="20"/>
        </w:rPr>
        <w:t>C. Agent Environments</w:t>
      </w:r>
    </w:p>
    <w:p>
      <w:pPr>
        <w:spacing w:after="120" w:line="240" w:lineRule="auto"/>
        <w:jc w:val="both"/>
      </w:pPr>
      <w:r>
        <w:rPr>
          <w:rFonts w:ascii="Times New Roman" w:hAnsi="Times New Roman" w:eastAsia="Times New Roman"/>
          <w:b w:val="0"/>
          <w:i w:val="0"/>
          <w:sz w:val="20"/>
        </w:rPr>
        <w:t>Agents operate in environments classified along multiple axes: static versus dynamic, fully versus partially observable, deterministic versus stochastic, and single- versus multi-agent [30]. Environmental complexity directly affects planning horizon, tool selection, and the need for memory and reflection. Web-browsing agents face stochastic, partially observable environments; code agents operate in deterministic sandboxes with clear termination conditions [22], [24].</w:t>
      </w:r>
    </w:p>
    <w:p>
      <w:pPr>
        <w:spacing w:before="120" w:after="80"/>
      </w:pPr>
      <w:r>
        <w:rPr>
          <w:rFonts w:ascii="Times New Roman" w:hAnsi="Times New Roman" w:eastAsia="Times New Roman"/>
          <w:b/>
          <w:i w:val="0"/>
          <w:sz w:val="20"/>
        </w:rPr>
        <w:t>IV. FOUNDATIONAL PARADIGMS</w:t>
      </w:r>
    </w:p>
    <w:p>
      <w:pPr>
        <w:spacing w:before="80" w:after="40"/>
      </w:pPr>
      <w:r>
        <w:rPr>
          <w:rFonts w:ascii="Times New Roman" w:hAnsi="Times New Roman" w:eastAsia="Times New Roman"/>
          <w:b/>
          <w:i/>
          <w:sz w:val="20"/>
        </w:rPr>
        <w:t>A. ReAct: Reasoning and Acting</w:t>
      </w:r>
    </w:p>
    <w:p>
      <w:pPr>
        <w:spacing w:after="120" w:line="240" w:lineRule="auto"/>
        <w:jc w:val="both"/>
      </w:pPr>
      <w:r>
        <w:rPr>
          <w:rFonts w:ascii="Times New Roman" w:hAnsi="Times New Roman" w:eastAsia="Times New Roman"/>
          <w:b w:val="0"/>
          <w:i w:val="0"/>
          <w:sz w:val="20"/>
        </w:rPr>
        <w:t>Yao et al. [9] introduced ReAct (Reasoning + Acting), interleaving chain-of-thought rationales with executable actions and environment observations. The trajectory τ = {o₁, z₁, a₁, o₂, z₂, a₂, …} grounds reasoning in external feedback, reducing hallucination compared to latent chain-of-thought prompting alone [5], [9]. ReAct remains the de facto scaffold for modern agent benchmarks and frameworks, though it is vulnerable to error propagation and myopic planning when early mistakes trigger unproductive loops [5].</w:t>
      </w:r>
    </w:p>
    <w:p>
      <w:pPr>
        <w:spacing w:before="80" w:after="40"/>
      </w:pPr>
      <w:r>
        <w:rPr>
          <w:rFonts w:ascii="Times New Roman" w:hAnsi="Times New Roman" w:eastAsia="Times New Roman"/>
          <w:b/>
          <w:i/>
          <w:sz w:val="20"/>
        </w:rPr>
        <w:t>B. Tool Use and Function Calling</w:t>
      </w:r>
    </w:p>
    <w:p>
      <w:pPr>
        <w:spacing w:after="120" w:line="240" w:lineRule="auto"/>
        <w:jc w:val="both"/>
      </w:pPr>
      <w:r>
        <w:rPr>
          <w:rFonts w:ascii="Times New Roman" w:hAnsi="Times New Roman" w:eastAsia="Times New Roman"/>
          <w:b w:val="0"/>
          <w:i w:val="0"/>
          <w:sz w:val="20"/>
        </w:rPr>
        <w:t>Schick et al. [10] proposed Toolformer, demonstrating that LMs can learn to invoke APIs through self-supervised fine-tuning. Subsequent systems expose tools via JSON schemas, OpenAI function calling, and standardized protocols such as the Model Context Protocol (MCP), which decouples tool providers from agent runtimes [11]. Tool-augmented agents enable retrieval-augmented generation (RAG), code execution, database queries, and web browsing, substantially expanding the feasible task space [2], [12].</w:t>
      </w:r>
    </w:p>
    <w:p>
      <w:pPr>
        <w:spacing w:before="80" w:after="40"/>
      </w:pPr>
      <w:r>
        <w:rPr>
          <w:rFonts w:ascii="Times New Roman" w:hAnsi="Times New Roman" w:eastAsia="Times New Roman"/>
          <w:b/>
          <w:i/>
          <w:sz w:val="20"/>
        </w:rPr>
        <w:t>C. Reflection and Self-Improvement</w:t>
      </w:r>
    </w:p>
    <w:p>
      <w:pPr>
        <w:spacing w:after="120" w:line="240" w:lineRule="auto"/>
        <w:jc w:val="both"/>
      </w:pPr>
      <w:r>
        <w:rPr>
          <w:rFonts w:ascii="Times New Roman" w:hAnsi="Times New Roman" w:eastAsia="Times New Roman"/>
          <w:b w:val="0"/>
          <w:i w:val="0"/>
          <w:sz w:val="20"/>
        </w:rPr>
        <w:t>Reflexion [13] extends ReAct with an evaluator–reflector loop that generates verbal reinforcement cues from failed trajectories, enabling iterative self-correction without weight updates. Self-Refine and related methods apply similar actor–critic decompositions at inference time [2]. These approaches improve robustness on coding and reasoning tasks but increase token cost and latency, raising questions about cost-efficiency in production deployments [14].</w:t>
      </w:r>
    </w:p>
    <w:p>
      <w:pPr>
        <w:jc w:val="center"/>
      </w:pPr>
      <w:r>
        <w:rPr>
          <w:rFonts w:ascii="Times New Roman" w:hAnsi="Times New Roman" w:eastAsia="Times New Roman"/>
          <w:b w:val="0"/>
          <w:i/>
          <w:sz w:val="18"/>
        </w:rPr>
        <w:t>TABLE I</w:t>
        <w:br/>
        <w:t>COMPARISON OF FOUNDATIONAL AGENTIC PARADIGMS</w:t>
      </w:r>
    </w:p>
    <w:tbl>
      <w:tblPr>
        <w:tblStyle w:val="TableGrid"/>
        <w:tblW w:type="auto" w:w="0"/>
        <w:tblLook w:firstColumn="1" w:firstRow="1" w:lastColumn="0" w:lastRow="0" w:noHBand="0" w:noVBand="1" w:val="04A0"/>
      </w:tblPr>
      <w:tblGrid>
        <w:gridCol w:w="2555"/>
        <w:gridCol w:w="2555"/>
        <w:gridCol w:w="2555"/>
        <w:gridCol w:w="2555"/>
      </w:tblGrid>
      <w:tr>
        <w:tc>
          <w:tcPr>
            <w:tcW w:type="dxa" w:w="2555"/>
          </w:tcPr>
          <w:p>
            <w:pPr>
              <w:jc w:val="center"/>
            </w:pPr>
            <w:r>
              <w:rPr>
                <w:rFonts w:ascii="Times New Roman" w:hAnsi="Times New Roman" w:eastAsia="Times New Roman"/>
                <w:b/>
                <w:i w:val="0"/>
                <w:sz w:val="18"/>
              </w:rPr>
              <w:t>Paradigm</w:t>
            </w:r>
          </w:p>
        </w:tc>
        <w:tc>
          <w:tcPr>
            <w:tcW w:type="dxa" w:w="2555"/>
          </w:tcPr>
          <w:p>
            <w:pPr>
              <w:jc w:val="center"/>
            </w:pPr>
            <w:r>
              <w:rPr>
                <w:rFonts w:ascii="Times New Roman" w:hAnsi="Times New Roman" w:eastAsia="Times New Roman"/>
                <w:b/>
                <w:i w:val="0"/>
                <w:sz w:val="18"/>
              </w:rPr>
              <w:t>Year</w:t>
            </w:r>
          </w:p>
        </w:tc>
        <w:tc>
          <w:tcPr>
            <w:tcW w:type="dxa" w:w="2555"/>
          </w:tcPr>
          <w:p>
            <w:pPr>
              <w:jc w:val="center"/>
            </w:pPr>
            <w:r>
              <w:rPr>
                <w:rFonts w:ascii="Times New Roman" w:hAnsi="Times New Roman" w:eastAsia="Times New Roman"/>
                <w:b/>
                <w:i w:val="0"/>
                <w:sz w:val="18"/>
              </w:rPr>
              <w:t>Key Idea</w:t>
            </w:r>
          </w:p>
        </w:tc>
        <w:tc>
          <w:tcPr>
            <w:tcW w:type="dxa" w:w="2555"/>
          </w:tcPr>
          <w:p>
            <w:pPr>
              <w:jc w:val="center"/>
            </w:pPr>
            <w:r>
              <w:rPr>
                <w:rFonts w:ascii="Times New Roman" w:hAnsi="Times New Roman" w:eastAsia="Times New Roman"/>
                <w:b/>
                <w:i w:val="0"/>
                <w:sz w:val="18"/>
              </w:rPr>
              <w:t>Limitation</w:t>
            </w:r>
          </w:p>
        </w:tc>
      </w:tr>
      <w:tr>
        <w:tc>
          <w:tcPr>
            <w:tcW w:type="dxa" w:w="2555"/>
          </w:tcPr>
          <w:p>
            <w:r>
              <w:rPr>
                <w:rFonts w:ascii="Times New Roman" w:hAnsi="Times New Roman" w:eastAsia="Times New Roman"/>
                <w:b w:val="0"/>
                <w:i w:val="0"/>
                <w:sz w:val="18"/>
              </w:rPr>
              <w:t>ReAct [9]</w:t>
            </w:r>
          </w:p>
        </w:tc>
        <w:tc>
          <w:tcPr>
            <w:tcW w:type="dxa" w:w="2555"/>
          </w:tcPr>
          <w:p>
            <w:r>
              <w:rPr>
                <w:rFonts w:ascii="Times New Roman" w:hAnsi="Times New Roman" w:eastAsia="Times New Roman"/>
                <w:b w:val="0"/>
                <w:i w:val="0"/>
                <w:sz w:val="18"/>
              </w:rPr>
              <w:t>2022</w:t>
            </w:r>
          </w:p>
        </w:tc>
        <w:tc>
          <w:tcPr>
            <w:tcW w:type="dxa" w:w="2555"/>
          </w:tcPr>
          <w:p>
            <w:r>
              <w:rPr>
                <w:rFonts w:ascii="Times New Roman" w:hAnsi="Times New Roman" w:eastAsia="Times New Roman"/>
                <w:b w:val="0"/>
                <w:i w:val="0"/>
                <w:sz w:val="18"/>
              </w:rPr>
              <w:t>Interleave thought and action</w:t>
            </w:r>
          </w:p>
        </w:tc>
        <w:tc>
          <w:tcPr>
            <w:tcW w:type="dxa" w:w="2555"/>
          </w:tcPr>
          <w:p>
            <w:r>
              <w:rPr>
                <w:rFonts w:ascii="Times New Roman" w:hAnsi="Times New Roman" w:eastAsia="Times New Roman"/>
                <w:b w:val="0"/>
                <w:i w:val="0"/>
                <w:sz w:val="18"/>
              </w:rPr>
              <w:t>Error propagation</w:t>
            </w:r>
          </w:p>
        </w:tc>
      </w:tr>
      <w:tr>
        <w:tc>
          <w:tcPr>
            <w:tcW w:type="dxa" w:w="2555"/>
          </w:tcPr>
          <w:p>
            <w:r>
              <w:rPr>
                <w:rFonts w:ascii="Times New Roman" w:hAnsi="Times New Roman" w:eastAsia="Times New Roman"/>
                <w:b w:val="0"/>
                <w:i w:val="0"/>
                <w:sz w:val="18"/>
              </w:rPr>
              <w:t>Toolformer [10]</w:t>
            </w:r>
          </w:p>
        </w:tc>
        <w:tc>
          <w:tcPr>
            <w:tcW w:type="dxa" w:w="2555"/>
          </w:tcPr>
          <w:p>
            <w:r>
              <w:rPr>
                <w:rFonts w:ascii="Times New Roman" w:hAnsi="Times New Roman" w:eastAsia="Times New Roman"/>
                <w:b w:val="0"/>
                <w:i w:val="0"/>
                <w:sz w:val="18"/>
              </w:rPr>
              <w:t>2023</w:t>
            </w:r>
          </w:p>
        </w:tc>
        <w:tc>
          <w:tcPr>
            <w:tcW w:type="dxa" w:w="2555"/>
          </w:tcPr>
          <w:p>
            <w:r>
              <w:rPr>
                <w:rFonts w:ascii="Times New Roman" w:hAnsi="Times New Roman" w:eastAsia="Times New Roman"/>
                <w:b w:val="0"/>
                <w:i w:val="0"/>
                <w:sz w:val="18"/>
              </w:rPr>
              <w:t>Self-supervised tool learning</w:t>
            </w:r>
          </w:p>
        </w:tc>
        <w:tc>
          <w:tcPr>
            <w:tcW w:type="dxa" w:w="2555"/>
          </w:tcPr>
          <w:p>
            <w:r>
              <w:rPr>
                <w:rFonts w:ascii="Times New Roman" w:hAnsi="Times New Roman" w:eastAsia="Times New Roman"/>
                <w:b w:val="0"/>
                <w:i w:val="0"/>
                <w:sz w:val="18"/>
              </w:rPr>
              <w:t>Training overhead</w:t>
            </w:r>
          </w:p>
        </w:tc>
      </w:tr>
      <w:tr>
        <w:tc>
          <w:tcPr>
            <w:tcW w:type="dxa" w:w="2555"/>
          </w:tcPr>
          <w:p>
            <w:r>
              <w:rPr>
                <w:rFonts w:ascii="Times New Roman" w:hAnsi="Times New Roman" w:eastAsia="Times New Roman"/>
                <w:b w:val="0"/>
                <w:i w:val="0"/>
                <w:sz w:val="18"/>
              </w:rPr>
              <w:t>Reflexion [13]</w:t>
            </w:r>
          </w:p>
        </w:tc>
        <w:tc>
          <w:tcPr>
            <w:tcW w:type="dxa" w:w="2555"/>
          </w:tcPr>
          <w:p>
            <w:r>
              <w:rPr>
                <w:rFonts w:ascii="Times New Roman" w:hAnsi="Times New Roman" w:eastAsia="Times New Roman"/>
                <w:b w:val="0"/>
                <w:i w:val="0"/>
                <w:sz w:val="18"/>
              </w:rPr>
              <w:t>2023</w:t>
            </w:r>
          </w:p>
        </w:tc>
        <w:tc>
          <w:tcPr>
            <w:tcW w:type="dxa" w:w="2555"/>
          </w:tcPr>
          <w:p>
            <w:r>
              <w:rPr>
                <w:rFonts w:ascii="Times New Roman" w:hAnsi="Times New Roman" w:eastAsia="Times New Roman"/>
                <w:b w:val="0"/>
                <w:i w:val="0"/>
                <w:sz w:val="18"/>
              </w:rPr>
              <w:t>Verbal self-reflection</w:t>
            </w:r>
          </w:p>
        </w:tc>
        <w:tc>
          <w:tcPr>
            <w:tcW w:type="dxa" w:w="2555"/>
          </w:tcPr>
          <w:p>
            <w:r>
              <w:rPr>
                <w:rFonts w:ascii="Times New Roman" w:hAnsi="Times New Roman" w:eastAsia="Times New Roman"/>
                <w:b w:val="0"/>
                <w:i w:val="0"/>
                <w:sz w:val="18"/>
              </w:rPr>
              <w:t>Higher inference cost</w:t>
            </w:r>
          </w:p>
        </w:tc>
      </w:tr>
      <w:tr>
        <w:tc>
          <w:tcPr>
            <w:tcW w:type="dxa" w:w="2555"/>
          </w:tcPr>
          <w:p>
            <w:r>
              <w:rPr>
                <w:rFonts w:ascii="Times New Roman" w:hAnsi="Times New Roman" w:eastAsia="Times New Roman"/>
                <w:b w:val="0"/>
                <w:i w:val="0"/>
                <w:sz w:val="18"/>
              </w:rPr>
              <w:t>AutoGPT [15]</w:t>
            </w:r>
          </w:p>
        </w:tc>
        <w:tc>
          <w:tcPr>
            <w:tcW w:type="dxa" w:w="2555"/>
          </w:tcPr>
          <w:p>
            <w:r>
              <w:rPr>
                <w:rFonts w:ascii="Times New Roman" w:hAnsi="Times New Roman" w:eastAsia="Times New Roman"/>
                <w:b w:val="0"/>
                <w:i w:val="0"/>
                <w:sz w:val="18"/>
              </w:rPr>
              <w:t>2023</w:t>
            </w:r>
          </w:p>
        </w:tc>
        <w:tc>
          <w:tcPr>
            <w:tcW w:type="dxa" w:w="2555"/>
          </w:tcPr>
          <w:p>
            <w:r>
              <w:rPr>
                <w:rFonts w:ascii="Times New Roman" w:hAnsi="Times New Roman" w:eastAsia="Times New Roman"/>
                <w:b w:val="0"/>
                <w:i w:val="0"/>
                <w:sz w:val="18"/>
              </w:rPr>
              <w:t>Autonomous goal loops</w:t>
            </w:r>
          </w:p>
        </w:tc>
        <w:tc>
          <w:tcPr>
            <w:tcW w:type="dxa" w:w="2555"/>
          </w:tcPr>
          <w:p>
            <w:r>
              <w:rPr>
                <w:rFonts w:ascii="Times New Roman" w:hAnsi="Times New Roman" w:eastAsia="Times New Roman"/>
                <w:b w:val="0"/>
                <w:i w:val="0"/>
                <w:sz w:val="18"/>
              </w:rPr>
              <w:t>Stability concerns</w:t>
            </w:r>
          </w:p>
        </w:tc>
      </w:tr>
    </w:tbl>
    <w:p/>
    <w:p>
      <w:pPr>
        <w:spacing w:before="80" w:after="40"/>
      </w:pPr>
      <w:r>
        <w:rPr>
          <w:rFonts w:ascii="Times New Roman" w:hAnsi="Times New Roman" w:eastAsia="Times New Roman"/>
          <w:b/>
          <w:i/>
          <w:sz w:val="20"/>
        </w:rPr>
        <w:t>D. Memory Architectures</w:t>
      </w:r>
    </w:p>
    <w:p>
      <w:pPr>
        <w:spacing w:after="120" w:line="240" w:lineRule="auto"/>
        <w:jc w:val="both"/>
      </w:pPr>
      <w:r>
        <w:rPr>
          <w:rFonts w:ascii="Times New Roman" w:hAnsi="Times New Roman" w:eastAsia="Times New Roman"/>
          <w:b w:val="0"/>
          <w:i w:val="0"/>
          <w:sz w:val="20"/>
        </w:rPr>
        <w:t>Long-horizon agent tasks require memory beyond the context window. Hierarchical memory systems combine working memory (current trajectory), episodic memory (past interactions), and semantic memory (retrieved knowledge) [2], [31]. Frameworks such as Mem0, Letta, and LangChain memory modules implement vector-store retrieval, graph-based knowledge, and self-managed memory augmentation [31]. MemInsight demonstrates that autonomous memory tagging and filtering can substantially improve multi-session task performance.</w:t>
      </w:r>
    </w:p>
    <w:p>
      <w:pPr>
        <w:spacing w:before="120" w:after="80"/>
      </w:pPr>
      <w:r>
        <w:rPr>
          <w:rFonts w:ascii="Times New Roman" w:hAnsi="Times New Roman" w:eastAsia="Times New Roman"/>
          <w:b/>
          <w:i w:val="0"/>
          <w:sz w:val="20"/>
        </w:rPr>
        <w:t>V. ARCHITECTURES AND FRAMEWORKS</w:t>
      </w:r>
    </w:p>
    <w:p>
      <w:pPr>
        <w:spacing w:before="80" w:after="40"/>
      </w:pPr>
      <w:r>
        <w:rPr>
          <w:rFonts w:ascii="Times New Roman" w:hAnsi="Times New Roman" w:eastAsia="Times New Roman"/>
          <w:b/>
          <w:i/>
          <w:sz w:val="20"/>
        </w:rPr>
        <w:t>A. Single-Agent Orchestration</w:t>
      </w:r>
    </w:p>
    <w:p>
      <w:pPr>
        <w:spacing w:after="120" w:line="240" w:lineRule="auto"/>
        <w:jc w:val="both"/>
      </w:pPr>
      <w:r>
        <w:rPr>
          <w:rFonts w:ascii="Times New Roman" w:hAnsi="Times New Roman" w:eastAsia="Times New Roman"/>
          <w:b w:val="0"/>
          <w:i w:val="0"/>
          <w:sz w:val="20"/>
        </w:rPr>
        <w:t>Community frameworks such as AutoGPT and BabyAGI popularized fully autonomous loops with goal decomposition and persistent memory [1], [15]. LangChain and LangGraph introduced controllable orchestration through explicit state graphs, enabling developers to define nodes, edges, and conditional transitions rather than unconstrained LLM loops [5], [11]. Guo et al. [5] contrast autonomous loops with controllable graphs, arguing that production systems require explicit workflow structure to manage failure modes.</w:t>
      </w:r>
    </w:p>
    <w:p>
      <w:pPr>
        <w:spacing w:before="80" w:after="40"/>
      </w:pPr>
      <w:r>
        <w:rPr>
          <w:rFonts w:ascii="Times New Roman" w:hAnsi="Times New Roman" w:eastAsia="Times New Roman"/>
          <w:b/>
          <w:i/>
          <w:sz w:val="20"/>
        </w:rPr>
        <w:t>B. Multi-Agent Systems</w:t>
      </w:r>
    </w:p>
    <w:p>
      <w:pPr>
        <w:spacing w:after="120" w:line="240" w:lineRule="auto"/>
        <w:jc w:val="both"/>
      </w:pPr>
      <w:r>
        <w:rPr>
          <w:rFonts w:ascii="Times New Roman" w:hAnsi="Times New Roman" w:eastAsia="Times New Roman"/>
          <w:b w:val="0"/>
          <w:i w:val="0"/>
          <w:sz w:val="20"/>
        </w:rPr>
        <w:t>Multi-agent LLM systems assign specialized roles—planner, coder, critic—to collaborating agents. Frameworks including CAMEL [16], AutoGen [17], MetaGPT [18], and CrewAI implement topologies such as chain, star, mesh, and hierarchical workflows [5], [19]. Chen et al. [20] survey multi-agent collaboration mechanisms, while MASEval [21] demonstrates that framework choice can impact performance as much as backbone model selection within a capability tier.</w:t>
      </w:r>
    </w:p>
    <w:p>
      <w:pPr>
        <w:spacing w:before="80" w:after="40"/>
      </w:pPr>
      <w:r>
        <w:rPr>
          <w:rFonts w:ascii="Times New Roman" w:hAnsi="Times New Roman" w:eastAsia="Times New Roman"/>
          <w:b/>
          <w:i/>
          <w:sz w:val="20"/>
        </w:rPr>
        <w:t>C. Agent Protocols</w:t>
      </w:r>
    </w:p>
    <w:p>
      <w:pPr>
        <w:spacing w:after="120" w:line="240" w:lineRule="auto"/>
        <w:jc w:val="both"/>
      </w:pPr>
      <w:r>
        <w:rPr>
          <w:rFonts w:ascii="Times New Roman" w:hAnsi="Times New Roman" w:eastAsia="Times New Roman"/>
          <w:b w:val="0"/>
          <w:i w:val="0"/>
          <w:sz w:val="20"/>
        </w:rPr>
        <w:t>Interoperability standards are emerging to connect agents with tools and other agents. The Model Context Protocol (MCP) standardizes tool and resource discovery; the Agent Communication Protocol (ACP) and Agent-to-Agent Protocol (A2A) address cross-agent messaging [11], [12]. These protocols reduce integration friction but introduce new attack surfaces related to prompt injection and unauthorized tool invocation [12].</w:t>
      </w:r>
    </w:p>
    <w:p>
      <w:pPr>
        <w:jc w:val="center"/>
      </w:pPr>
      <w:r>
        <w:drawing>
          <wp:inline xmlns:a="http://schemas.openxmlformats.org/drawingml/2006/main" xmlns:pic="http://schemas.openxmlformats.org/drawingml/2006/picture">
            <wp:extent cx="2926080" cy="1856259"/>
            <wp:docPr id="1" name="Picture 1"/>
            <wp:cNvGraphicFramePr>
              <a:graphicFrameLocks noChangeAspect="1"/>
            </wp:cNvGraphicFramePr>
            <a:graphic>
              <a:graphicData uri="http://schemas.openxmlformats.org/drawingml/2006/picture">
                <pic:pic>
                  <pic:nvPicPr>
                    <pic:cNvPr id="0" name="agentic_taxonomy.png"/>
                    <pic:cNvPicPr/>
                  </pic:nvPicPr>
                  <pic:blipFill>
                    <a:blip r:embed="rId9"/>
                    <a:stretch>
                      <a:fillRect/>
                    </a:stretch>
                  </pic:blipFill>
                  <pic:spPr>
                    <a:xfrm>
                      <a:off x="0" y="0"/>
                      <a:ext cx="2926080" cy="1856259"/>
                    </a:xfrm>
                    <a:prstGeom prst="rect"/>
                  </pic:spPr>
                </pic:pic>
              </a:graphicData>
            </a:graphic>
          </wp:inline>
        </w:drawing>
      </w:r>
    </w:p>
    <w:p>
      <w:pPr>
        <w:jc w:val="center"/>
      </w:pPr>
      <w:r>
        <w:rPr>
          <w:rFonts w:ascii="Times New Roman" w:hAnsi="Times New Roman" w:eastAsia="Times New Roman"/>
          <w:b w:val="0"/>
          <w:i/>
          <w:sz w:val="18"/>
        </w:rPr>
        <w:t>Fig. 1. Taxonomy of agentic AI organized along reasoning, acting, and interacting axes.</w:t>
      </w:r>
    </w:p>
    <w:p>
      <w:pPr>
        <w:jc w:val="center"/>
      </w:pPr>
      <w:r>
        <w:rPr>
          <w:rFonts w:ascii="Times New Roman" w:hAnsi="Times New Roman" w:eastAsia="Times New Roman"/>
          <w:b w:val="0"/>
          <w:i/>
          <w:sz w:val="18"/>
        </w:rPr>
        <w:t>TABLE IV</w:t>
        <w:br/>
        <w:t>AGENT FRAMEWORK COMPARISON</w:t>
      </w:r>
    </w:p>
    <w:tbl>
      <w:tblPr>
        <w:tblStyle w:val="TableGrid"/>
        <w:tblW w:type="auto" w:w="0"/>
        <w:tblLook w:firstColumn="1" w:firstRow="1" w:lastColumn="0" w:lastRow="0" w:noHBand="0" w:noVBand="1" w:val="04A0"/>
      </w:tblPr>
      <w:tblGrid>
        <w:gridCol w:w="2555"/>
        <w:gridCol w:w="2555"/>
        <w:gridCol w:w="2555"/>
        <w:gridCol w:w="2555"/>
      </w:tblGrid>
      <w:tr>
        <w:tc>
          <w:tcPr>
            <w:tcW w:type="dxa" w:w="2555"/>
          </w:tcPr>
          <w:p>
            <w:pPr>
              <w:jc w:val="center"/>
            </w:pPr>
            <w:r>
              <w:rPr>
                <w:rFonts w:ascii="Times New Roman" w:hAnsi="Times New Roman" w:eastAsia="Times New Roman"/>
                <w:b/>
                <w:i w:val="0"/>
                <w:sz w:val="18"/>
              </w:rPr>
              <w:t>Framework</w:t>
            </w:r>
          </w:p>
        </w:tc>
        <w:tc>
          <w:tcPr>
            <w:tcW w:type="dxa" w:w="2555"/>
          </w:tcPr>
          <w:p>
            <w:pPr>
              <w:jc w:val="center"/>
            </w:pPr>
            <w:r>
              <w:rPr>
                <w:rFonts w:ascii="Times New Roman" w:hAnsi="Times New Roman" w:eastAsia="Times New Roman"/>
                <w:b/>
                <w:i w:val="0"/>
                <w:sz w:val="18"/>
              </w:rPr>
              <w:t>Paradigm</w:t>
            </w:r>
          </w:p>
        </w:tc>
        <w:tc>
          <w:tcPr>
            <w:tcW w:type="dxa" w:w="2555"/>
          </w:tcPr>
          <w:p>
            <w:pPr>
              <w:jc w:val="center"/>
            </w:pPr>
            <w:r>
              <w:rPr>
                <w:rFonts w:ascii="Times New Roman" w:hAnsi="Times New Roman" w:eastAsia="Times New Roman"/>
                <w:b/>
                <w:i w:val="0"/>
                <w:sz w:val="18"/>
              </w:rPr>
              <w:t>Multi-Agent</w:t>
            </w:r>
          </w:p>
        </w:tc>
        <w:tc>
          <w:tcPr>
            <w:tcW w:type="dxa" w:w="2555"/>
          </w:tcPr>
          <w:p>
            <w:pPr>
              <w:jc w:val="center"/>
            </w:pPr>
            <w:r>
              <w:rPr>
                <w:rFonts w:ascii="Times New Roman" w:hAnsi="Times New Roman" w:eastAsia="Times New Roman"/>
                <w:b/>
                <w:i w:val="0"/>
                <w:sz w:val="18"/>
              </w:rPr>
              <w:t>Production</w:t>
            </w:r>
          </w:p>
        </w:tc>
      </w:tr>
      <w:tr>
        <w:tc>
          <w:tcPr>
            <w:tcW w:type="dxa" w:w="2555"/>
          </w:tcPr>
          <w:p>
            <w:r>
              <w:rPr>
                <w:rFonts w:ascii="Times New Roman" w:hAnsi="Times New Roman" w:eastAsia="Times New Roman"/>
                <w:b w:val="0"/>
                <w:i w:val="0"/>
                <w:sz w:val="18"/>
              </w:rPr>
              <w:t>LangGraph</w:t>
            </w:r>
          </w:p>
        </w:tc>
        <w:tc>
          <w:tcPr>
            <w:tcW w:type="dxa" w:w="2555"/>
          </w:tcPr>
          <w:p>
            <w:r>
              <w:rPr>
                <w:rFonts w:ascii="Times New Roman" w:hAnsi="Times New Roman" w:eastAsia="Times New Roman"/>
                <w:b w:val="0"/>
                <w:i w:val="0"/>
                <w:sz w:val="18"/>
              </w:rPr>
              <w:t>State graph</w:t>
            </w:r>
          </w:p>
        </w:tc>
        <w:tc>
          <w:tcPr>
            <w:tcW w:type="dxa" w:w="2555"/>
          </w:tcPr>
          <w:p>
            <w:r>
              <w:rPr>
                <w:rFonts w:ascii="Times New Roman" w:hAnsi="Times New Roman" w:eastAsia="Times New Roman"/>
                <w:b w:val="0"/>
                <w:i w:val="0"/>
                <w:sz w:val="18"/>
              </w:rPr>
              <w:t>Yes</w:t>
            </w:r>
          </w:p>
        </w:tc>
        <w:tc>
          <w:tcPr>
            <w:tcW w:type="dxa" w:w="2555"/>
          </w:tcPr>
          <w:p>
            <w:r>
              <w:rPr>
                <w:rFonts w:ascii="Times New Roman" w:hAnsi="Times New Roman" w:eastAsia="Times New Roman"/>
                <w:b w:val="0"/>
                <w:i w:val="0"/>
                <w:sz w:val="18"/>
              </w:rPr>
              <w:t>High</w:t>
            </w:r>
          </w:p>
        </w:tc>
      </w:tr>
      <w:tr>
        <w:tc>
          <w:tcPr>
            <w:tcW w:type="dxa" w:w="2555"/>
          </w:tcPr>
          <w:p>
            <w:r>
              <w:rPr>
                <w:rFonts w:ascii="Times New Roman" w:hAnsi="Times New Roman" w:eastAsia="Times New Roman"/>
                <w:b w:val="0"/>
                <w:i w:val="0"/>
                <w:sz w:val="18"/>
              </w:rPr>
              <w:t>AutoGen</w:t>
            </w:r>
          </w:p>
        </w:tc>
        <w:tc>
          <w:tcPr>
            <w:tcW w:type="dxa" w:w="2555"/>
          </w:tcPr>
          <w:p>
            <w:r>
              <w:rPr>
                <w:rFonts w:ascii="Times New Roman" w:hAnsi="Times New Roman" w:eastAsia="Times New Roman"/>
                <w:b w:val="0"/>
                <w:i w:val="0"/>
                <w:sz w:val="18"/>
              </w:rPr>
              <w:t>Conversation</w:t>
            </w:r>
          </w:p>
        </w:tc>
        <w:tc>
          <w:tcPr>
            <w:tcW w:type="dxa" w:w="2555"/>
          </w:tcPr>
          <w:p>
            <w:r>
              <w:rPr>
                <w:rFonts w:ascii="Times New Roman" w:hAnsi="Times New Roman" w:eastAsia="Times New Roman"/>
                <w:b w:val="0"/>
                <w:i w:val="0"/>
                <w:sz w:val="18"/>
              </w:rPr>
              <w:t>Yes</w:t>
            </w:r>
          </w:p>
        </w:tc>
        <w:tc>
          <w:tcPr>
            <w:tcW w:type="dxa" w:w="2555"/>
          </w:tcPr>
          <w:p>
            <w:r>
              <w:rPr>
                <w:rFonts w:ascii="Times New Roman" w:hAnsi="Times New Roman" w:eastAsia="Times New Roman"/>
                <w:b w:val="0"/>
                <w:i w:val="0"/>
                <w:sz w:val="18"/>
              </w:rPr>
              <w:t>Medium</w:t>
            </w:r>
          </w:p>
        </w:tc>
      </w:tr>
      <w:tr>
        <w:tc>
          <w:tcPr>
            <w:tcW w:type="dxa" w:w="2555"/>
          </w:tcPr>
          <w:p>
            <w:r>
              <w:rPr>
                <w:rFonts w:ascii="Times New Roman" w:hAnsi="Times New Roman" w:eastAsia="Times New Roman"/>
                <w:b w:val="0"/>
                <w:i w:val="0"/>
                <w:sz w:val="18"/>
              </w:rPr>
              <w:t>CrewAI</w:t>
            </w:r>
          </w:p>
        </w:tc>
        <w:tc>
          <w:tcPr>
            <w:tcW w:type="dxa" w:w="2555"/>
          </w:tcPr>
          <w:p>
            <w:r>
              <w:rPr>
                <w:rFonts w:ascii="Times New Roman" w:hAnsi="Times New Roman" w:eastAsia="Times New Roman"/>
                <w:b w:val="0"/>
                <w:i w:val="0"/>
                <w:sz w:val="18"/>
              </w:rPr>
              <w:t>Role-based teams</w:t>
            </w:r>
          </w:p>
        </w:tc>
        <w:tc>
          <w:tcPr>
            <w:tcW w:type="dxa" w:w="2555"/>
          </w:tcPr>
          <w:p>
            <w:r>
              <w:rPr>
                <w:rFonts w:ascii="Times New Roman" w:hAnsi="Times New Roman" w:eastAsia="Times New Roman"/>
                <w:b w:val="0"/>
                <w:i w:val="0"/>
                <w:sz w:val="18"/>
              </w:rPr>
              <w:t>Yes</w:t>
            </w:r>
          </w:p>
        </w:tc>
        <w:tc>
          <w:tcPr>
            <w:tcW w:type="dxa" w:w="2555"/>
          </w:tcPr>
          <w:p>
            <w:r>
              <w:rPr>
                <w:rFonts w:ascii="Times New Roman" w:hAnsi="Times New Roman" w:eastAsia="Times New Roman"/>
                <w:b w:val="0"/>
                <w:i w:val="0"/>
                <w:sz w:val="18"/>
              </w:rPr>
              <w:t>Medium</w:t>
            </w:r>
          </w:p>
        </w:tc>
      </w:tr>
      <w:tr>
        <w:tc>
          <w:tcPr>
            <w:tcW w:type="dxa" w:w="2555"/>
          </w:tcPr>
          <w:p>
            <w:r>
              <w:rPr>
                <w:rFonts w:ascii="Times New Roman" w:hAnsi="Times New Roman" w:eastAsia="Times New Roman"/>
                <w:b w:val="0"/>
                <w:i w:val="0"/>
                <w:sz w:val="18"/>
              </w:rPr>
              <w:t>MetaGPT</w:t>
            </w:r>
          </w:p>
        </w:tc>
        <w:tc>
          <w:tcPr>
            <w:tcW w:type="dxa" w:w="2555"/>
          </w:tcPr>
          <w:p>
            <w:r>
              <w:rPr>
                <w:rFonts w:ascii="Times New Roman" w:hAnsi="Times New Roman" w:eastAsia="Times New Roman"/>
                <w:b w:val="0"/>
                <w:i w:val="0"/>
                <w:sz w:val="18"/>
              </w:rPr>
              <w:t>SOP simulation</w:t>
            </w:r>
          </w:p>
        </w:tc>
        <w:tc>
          <w:tcPr>
            <w:tcW w:type="dxa" w:w="2555"/>
          </w:tcPr>
          <w:p>
            <w:r>
              <w:rPr>
                <w:rFonts w:ascii="Times New Roman" w:hAnsi="Times New Roman" w:eastAsia="Times New Roman"/>
                <w:b w:val="0"/>
                <w:i w:val="0"/>
                <w:sz w:val="18"/>
              </w:rPr>
              <w:t>Yes</w:t>
            </w:r>
          </w:p>
        </w:tc>
        <w:tc>
          <w:tcPr>
            <w:tcW w:type="dxa" w:w="2555"/>
          </w:tcPr>
          <w:p>
            <w:r>
              <w:rPr>
                <w:rFonts w:ascii="Times New Roman" w:hAnsi="Times New Roman" w:eastAsia="Times New Roman"/>
                <w:b w:val="0"/>
                <w:i w:val="0"/>
                <w:sz w:val="18"/>
              </w:rPr>
              <w:t>Medium</w:t>
            </w:r>
          </w:p>
        </w:tc>
      </w:tr>
      <w:tr>
        <w:tc>
          <w:tcPr>
            <w:tcW w:type="dxa" w:w="2555"/>
          </w:tcPr>
          <w:p>
            <w:r>
              <w:rPr>
                <w:rFonts w:ascii="Times New Roman" w:hAnsi="Times New Roman" w:eastAsia="Times New Roman"/>
                <w:b w:val="0"/>
                <w:i w:val="0"/>
                <w:sz w:val="18"/>
              </w:rPr>
              <w:t>smolagents</w:t>
            </w:r>
          </w:p>
        </w:tc>
        <w:tc>
          <w:tcPr>
            <w:tcW w:type="dxa" w:w="2555"/>
          </w:tcPr>
          <w:p>
            <w:r>
              <w:rPr>
                <w:rFonts w:ascii="Times New Roman" w:hAnsi="Times New Roman" w:eastAsia="Times New Roman"/>
                <w:b w:val="0"/>
                <w:i w:val="0"/>
                <w:sz w:val="18"/>
              </w:rPr>
              <w:t>Code-as-action</w:t>
            </w:r>
          </w:p>
        </w:tc>
        <w:tc>
          <w:tcPr>
            <w:tcW w:type="dxa" w:w="2555"/>
          </w:tcPr>
          <w:p>
            <w:r>
              <w:rPr>
                <w:rFonts w:ascii="Times New Roman" w:hAnsi="Times New Roman" w:eastAsia="Times New Roman"/>
                <w:b w:val="0"/>
                <w:i w:val="0"/>
                <w:sz w:val="18"/>
              </w:rPr>
              <w:t>Limited</w:t>
            </w:r>
          </w:p>
        </w:tc>
        <w:tc>
          <w:tcPr>
            <w:tcW w:type="dxa" w:w="2555"/>
          </w:tcPr>
          <w:p>
            <w:r>
              <w:rPr>
                <w:rFonts w:ascii="Times New Roman" w:hAnsi="Times New Roman" w:eastAsia="Times New Roman"/>
                <w:b w:val="0"/>
                <w:i w:val="0"/>
                <w:sz w:val="18"/>
              </w:rPr>
              <w:t>Emerging</w:t>
            </w:r>
          </w:p>
        </w:tc>
      </w:tr>
    </w:tbl>
    <w:p/>
    <w:p>
      <w:pPr>
        <w:jc w:val="center"/>
      </w:pPr>
      <w:r>
        <w:drawing>
          <wp:inline xmlns:a="http://schemas.openxmlformats.org/drawingml/2006/main" xmlns:pic="http://schemas.openxmlformats.org/drawingml/2006/picture">
            <wp:extent cx="2011680" cy="2135141"/>
            <wp:docPr id="2" name="Picture 2"/>
            <wp:cNvGraphicFramePr>
              <a:graphicFrameLocks noChangeAspect="1"/>
            </wp:cNvGraphicFramePr>
            <a:graphic>
              <a:graphicData uri="http://schemas.openxmlformats.org/drawingml/2006/picture">
                <pic:pic>
                  <pic:nvPicPr>
                    <pic:cNvPr id="0" name="agent_loop.png"/>
                    <pic:cNvPicPr/>
                  </pic:nvPicPr>
                  <pic:blipFill>
                    <a:blip r:embed="rId10"/>
                    <a:stretch>
                      <a:fillRect/>
                    </a:stretch>
                  </pic:blipFill>
                  <pic:spPr>
                    <a:xfrm>
                      <a:off x="0" y="0"/>
                      <a:ext cx="2011680" cy="2135141"/>
                    </a:xfrm>
                    <a:prstGeom prst="rect"/>
                  </pic:spPr>
                </pic:pic>
              </a:graphicData>
            </a:graphic>
          </wp:inline>
        </w:drawing>
      </w:r>
    </w:p>
    <w:p>
      <w:pPr>
        <w:jc w:val="center"/>
      </w:pPr>
      <w:r>
        <w:rPr>
          <w:rFonts w:ascii="Times New Roman" w:hAnsi="Times New Roman" w:eastAsia="Times New Roman"/>
          <w:b w:val="0"/>
          <w:i/>
          <w:sz w:val="18"/>
        </w:rPr>
        <w:t>Fig. 2. Canonical perceive–reason–plan–act–observe–reflect control loop.</w:t>
      </w:r>
    </w:p>
    <w:p>
      <w:pPr>
        <w:spacing w:before="120" w:after="80"/>
      </w:pPr>
      <w:r>
        <w:rPr>
          <w:rFonts w:ascii="Times New Roman" w:hAnsi="Times New Roman" w:eastAsia="Times New Roman"/>
          <w:b/>
          <w:i w:val="0"/>
          <w:sz w:val="20"/>
        </w:rPr>
        <w:t>VI. EVALUATION AND BENCHMARKS</w:t>
      </w:r>
    </w:p>
    <w:p>
      <w:pPr>
        <w:spacing w:before="80" w:after="40"/>
      </w:pPr>
      <w:r>
        <w:rPr>
          <w:rFonts w:ascii="Times New Roman" w:hAnsi="Times New Roman" w:eastAsia="Times New Roman"/>
          <w:b/>
          <w:i/>
          <w:sz w:val="20"/>
        </w:rPr>
        <w:t>A. Benchmark Landscape</w:t>
      </w:r>
    </w:p>
    <w:p>
      <w:pPr>
        <w:spacing w:after="120" w:line="240" w:lineRule="auto"/>
        <w:jc w:val="both"/>
      </w:pPr>
      <w:r>
        <w:rPr>
          <w:rFonts w:ascii="Times New Roman" w:hAnsi="Times New Roman" w:eastAsia="Times New Roman"/>
          <w:b w:val="0"/>
          <w:i w:val="0"/>
          <w:sz w:val="20"/>
        </w:rPr>
        <w:t>Evaluation has shifted from static NLP metrics toward interactive, environment-grounded assessments. Liu et al. [22] introduced AgentBench spanning eight environments including operating systems, databases, and web shopping. Mialon et al. [23] proposed GAIA for general AI assistants requiring tool use and multi-step reasoning. Jimenez et al. [24] released SWE-bench for software engineering agents, while Yao et al. [25] developed τ-bench for conversational service tasks with simulated users [3], [7].</w:t>
      </w:r>
    </w:p>
    <w:p>
      <w:pPr>
        <w:spacing w:before="80" w:after="40"/>
      </w:pPr>
      <w:r>
        <w:rPr>
          <w:rFonts w:ascii="Times New Roman" w:hAnsi="Times New Roman" w:eastAsia="Times New Roman"/>
          <w:b/>
          <w:i/>
          <w:sz w:val="20"/>
        </w:rPr>
        <w:t>B. Evaluation Gaps</w:t>
      </w:r>
    </w:p>
    <w:p>
      <w:pPr>
        <w:spacing w:after="120" w:line="240" w:lineRule="auto"/>
        <w:jc w:val="both"/>
      </w:pPr>
      <w:r>
        <w:rPr>
          <w:rFonts w:ascii="Times New Roman" w:hAnsi="Times New Roman" w:eastAsia="Times New Roman"/>
          <w:b w:val="0"/>
          <w:i w:val="0"/>
          <w:sz w:val="20"/>
        </w:rPr>
        <w:t>Despite benchmark proliferation, several gaps persist. First, most evaluations are model-centric, conflating backbone LLM capability with framework implementation [21], [14]. Second, laboratory benchmarks underrepresent cost, latency, and reliability requirements of enterprise deployment [7], [8]. Third, multi-dimensional evaluation taxonomies—covering safety, factuality, coordination, and tool correctness—remain inconsistently applied [3], [26]. Ling et al. [3] propose a unified framework standardizing seven benchmarks as instruction–tool–environment triplets under a fixed ReAct scaffold to isolate capability measurement.</w:t>
      </w:r>
    </w:p>
    <w:p>
      <w:pPr>
        <w:jc w:val="center"/>
      </w:pPr>
      <w:r>
        <w:rPr>
          <w:rFonts w:ascii="Times New Roman" w:hAnsi="Times New Roman" w:eastAsia="Times New Roman"/>
          <w:b w:val="0"/>
          <w:i/>
          <w:sz w:val="18"/>
        </w:rPr>
        <w:t>TABLE II</w:t>
        <w:br/>
        <w:t>REPRESENTATIVE AGENTIC AI BENCHMARKS</w:t>
      </w:r>
    </w:p>
    <w:tbl>
      <w:tblPr>
        <w:tblStyle w:val="TableGrid"/>
        <w:tblW w:type="auto" w:w="0"/>
        <w:tblLook w:firstColumn="1" w:firstRow="1" w:lastColumn="0" w:lastRow="0" w:noHBand="0" w:noVBand="1" w:val="04A0"/>
      </w:tblPr>
      <w:tblGrid>
        <w:gridCol w:w="2555"/>
        <w:gridCol w:w="2555"/>
        <w:gridCol w:w="2555"/>
        <w:gridCol w:w="2555"/>
      </w:tblGrid>
      <w:tr>
        <w:tc>
          <w:tcPr>
            <w:tcW w:type="dxa" w:w="2555"/>
          </w:tcPr>
          <w:p>
            <w:pPr>
              <w:jc w:val="center"/>
            </w:pPr>
            <w:r>
              <w:rPr>
                <w:rFonts w:ascii="Times New Roman" w:hAnsi="Times New Roman" w:eastAsia="Times New Roman"/>
                <w:b/>
                <w:i w:val="0"/>
                <w:sz w:val="18"/>
              </w:rPr>
              <w:t>Benchmark</w:t>
            </w:r>
          </w:p>
        </w:tc>
        <w:tc>
          <w:tcPr>
            <w:tcW w:type="dxa" w:w="2555"/>
          </w:tcPr>
          <w:p>
            <w:pPr>
              <w:jc w:val="center"/>
            </w:pPr>
            <w:r>
              <w:rPr>
                <w:rFonts w:ascii="Times New Roman" w:hAnsi="Times New Roman" w:eastAsia="Times New Roman"/>
                <w:b/>
                <w:i w:val="0"/>
                <w:sz w:val="18"/>
              </w:rPr>
              <w:t>Domain</w:t>
            </w:r>
          </w:p>
        </w:tc>
        <w:tc>
          <w:tcPr>
            <w:tcW w:type="dxa" w:w="2555"/>
          </w:tcPr>
          <w:p>
            <w:pPr>
              <w:jc w:val="center"/>
            </w:pPr>
            <w:r>
              <w:rPr>
                <w:rFonts w:ascii="Times New Roman" w:hAnsi="Times New Roman" w:eastAsia="Times New Roman"/>
                <w:b/>
                <w:i w:val="0"/>
                <w:sz w:val="18"/>
              </w:rPr>
              <w:t>Key Metric</w:t>
            </w:r>
          </w:p>
        </w:tc>
        <w:tc>
          <w:tcPr>
            <w:tcW w:type="dxa" w:w="2555"/>
          </w:tcPr>
          <w:p>
            <w:pPr>
              <w:jc w:val="center"/>
            </w:pPr>
            <w:r>
              <w:rPr>
                <w:rFonts w:ascii="Times New Roman" w:hAnsi="Times New Roman" w:eastAsia="Times New Roman"/>
                <w:b/>
                <w:i w:val="0"/>
                <w:sz w:val="18"/>
              </w:rPr>
              <w:t>Ref.</w:t>
            </w:r>
          </w:p>
        </w:tc>
      </w:tr>
      <w:tr>
        <w:tc>
          <w:tcPr>
            <w:tcW w:type="dxa" w:w="2555"/>
          </w:tcPr>
          <w:p>
            <w:r>
              <w:rPr>
                <w:rFonts w:ascii="Times New Roman" w:hAnsi="Times New Roman" w:eastAsia="Times New Roman"/>
                <w:b w:val="0"/>
                <w:i w:val="0"/>
                <w:sz w:val="18"/>
              </w:rPr>
              <w:t>AgentBench</w:t>
            </w:r>
          </w:p>
        </w:tc>
        <w:tc>
          <w:tcPr>
            <w:tcW w:type="dxa" w:w="2555"/>
          </w:tcPr>
          <w:p>
            <w:r>
              <w:rPr>
                <w:rFonts w:ascii="Times New Roman" w:hAnsi="Times New Roman" w:eastAsia="Times New Roman"/>
                <w:b w:val="0"/>
                <w:i w:val="0"/>
                <w:sz w:val="18"/>
              </w:rPr>
              <w:t>Multi-environment</w:t>
            </w:r>
          </w:p>
        </w:tc>
        <w:tc>
          <w:tcPr>
            <w:tcW w:type="dxa" w:w="2555"/>
          </w:tcPr>
          <w:p>
            <w:r>
              <w:rPr>
                <w:rFonts w:ascii="Times New Roman" w:hAnsi="Times New Roman" w:eastAsia="Times New Roman"/>
                <w:b w:val="0"/>
                <w:i w:val="0"/>
                <w:sz w:val="18"/>
              </w:rPr>
              <w:t>Success rate</w:t>
            </w:r>
          </w:p>
        </w:tc>
        <w:tc>
          <w:tcPr>
            <w:tcW w:type="dxa" w:w="2555"/>
          </w:tcPr>
          <w:p>
            <w:r>
              <w:rPr>
                <w:rFonts w:ascii="Times New Roman" w:hAnsi="Times New Roman" w:eastAsia="Times New Roman"/>
                <w:b w:val="0"/>
                <w:i w:val="0"/>
                <w:sz w:val="18"/>
              </w:rPr>
              <w:t>[22]</w:t>
            </w:r>
          </w:p>
        </w:tc>
      </w:tr>
      <w:tr>
        <w:tc>
          <w:tcPr>
            <w:tcW w:type="dxa" w:w="2555"/>
          </w:tcPr>
          <w:p>
            <w:r>
              <w:rPr>
                <w:rFonts w:ascii="Times New Roman" w:hAnsi="Times New Roman" w:eastAsia="Times New Roman"/>
                <w:b w:val="0"/>
                <w:i w:val="0"/>
                <w:sz w:val="18"/>
              </w:rPr>
              <w:t>GAIA</w:t>
            </w:r>
          </w:p>
        </w:tc>
        <w:tc>
          <w:tcPr>
            <w:tcW w:type="dxa" w:w="2555"/>
          </w:tcPr>
          <w:p>
            <w:r>
              <w:rPr>
                <w:rFonts w:ascii="Times New Roman" w:hAnsi="Times New Roman" w:eastAsia="Times New Roman"/>
                <w:b w:val="0"/>
                <w:i w:val="0"/>
                <w:sz w:val="18"/>
              </w:rPr>
              <w:t>General assistance</w:t>
            </w:r>
          </w:p>
        </w:tc>
        <w:tc>
          <w:tcPr>
            <w:tcW w:type="dxa" w:w="2555"/>
          </w:tcPr>
          <w:p>
            <w:r>
              <w:rPr>
                <w:rFonts w:ascii="Times New Roman" w:hAnsi="Times New Roman" w:eastAsia="Times New Roman"/>
                <w:b w:val="0"/>
                <w:i w:val="0"/>
                <w:sz w:val="18"/>
              </w:rPr>
              <w:t>Level-wise accuracy</w:t>
            </w:r>
          </w:p>
        </w:tc>
        <w:tc>
          <w:tcPr>
            <w:tcW w:type="dxa" w:w="2555"/>
          </w:tcPr>
          <w:p>
            <w:r>
              <w:rPr>
                <w:rFonts w:ascii="Times New Roman" w:hAnsi="Times New Roman" w:eastAsia="Times New Roman"/>
                <w:b w:val="0"/>
                <w:i w:val="0"/>
                <w:sz w:val="18"/>
              </w:rPr>
              <w:t>[23]</w:t>
            </w:r>
          </w:p>
        </w:tc>
      </w:tr>
      <w:tr>
        <w:tc>
          <w:tcPr>
            <w:tcW w:type="dxa" w:w="2555"/>
          </w:tcPr>
          <w:p>
            <w:r>
              <w:rPr>
                <w:rFonts w:ascii="Times New Roman" w:hAnsi="Times New Roman" w:eastAsia="Times New Roman"/>
                <w:b w:val="0"/>
                <w:i w:val="0"/>
                <w:sz w:val="18"/>
              </w:rPr>
              <w:t>SWE-bench</w:t>
            </w:r>
          </w:p>
        </w:tc>
        <w:tc>
          <w:tcPr>
            <w:tcW w:type="dxa" w:w="2555"/>
          </w:tcPr>
          <w:p>
            <w:r>
              <w:rPr>
                <w:rFonts w:ascii="Times New Roman" w:hAnsi="Times New Roman" w:eastAsia="Times New Roman"/>
                <w:b w:val="0"/>
                <w:i w:val="0"/>
                <w:sz w:val="18"/>
              </w:rPr>
              <w:t>Software engineering</w:t>
            </w:r>
          </w:p>
        </w:tc>
        <w:tc>
          <w:tcPr>
            <w:tcW w:type="dxa" w:w="2555"/>
          </w:tcPr>
          <w:p>
            <w:r>
              <w:rPr>
                <w:rFonts w:ascii="Times New Roman" w:hAnsi="Times New Roman" w:eastAsia="Times New Roman"/>
                <w:b w:val="0"/>
                <w:i w:val="0"/>
                <w:sz w:val="18"/>
              </w:rPr>
              <w:t>Issue resolution</w:t>
            </w:r>
          </w:p>
        </w:tc>
        <w:tc>
          <w:tcPr>
            <w:tcW w:type="dxa" w:w="2555"/>
          </w:tcPr>
          <w:p>
            <w:r>
              <w:rPr>
                <w:rFonts w:ascii="Times New Roman" w:hAnsi="Times New Roman" w:eastAsia="Times New Roman"/>
                <w:b w:val="0"/>
                <w:i w:val="0"/>
                <w:sz w:val="18"/>
              </w:rPr>
              <w:t>[24]</w:t>
            </w:r>
          </w:p>
        </w:tc>
      </w:tr>
      <w:tr>
        <w:tc>
          <w:tcPr>
            <w:tcW w:type="dxa" w:w="2555"/>
          </w:tcPr>
          <w:p>
            <w:r>
              <w:rPr>
                <w:rFonts w:ascii="Times New Roman" w:hAnsi="Times New Roman" w:eastAsia="Times New Roman"/>
                <w:b w:val="0"/>
                <w:i w:val="0"/>
                <w:sz w:val="18"/>
              </w:rPr>
              <w:t>τ-bench</w:t>
            </w:r>
          </w:p>
        </w:tc>
        <w:tc>
          <w:tcPr>
            <w:tcW w:type="dxa" w:w="2555"/>
          </w:tcPr>
          <w:p>
            <w:r>
              <w:rPr>
                <w:rFonts w:ascii="Times New Roman" w:hAnsi="Times New Roman" w:eastAsia="Times New Roman"/>
                <w:b w:val="0"/>
                <w:i w:val="0"/>
                <w:sz w:val="18"/>
              </w:rPr>
              <w:t>Customer service</w:t>
            </w:r>
          </w:p>
        </w:tc>
        <w:tc>
          <w:tcPr>
            <w:tcW w:type="dxa" w:w="2555"/>
          </w:tcPr>
          <w:p>
            <w:r>
              <w:rPr>
                <w:rFonts w:ascii="Times New Roman" w:hAnsi="Times New Roman" w:eastAsia="Times New Roman"/>
                <w:b w:val="0"/>
                <w:i w:val="0"/>
                <w:sz w:val="18"/>
              </w:rPr>
              <w:t>Task completion</w:t>
            </w:r>
          </w:p>
        </w:tc>
        <w:tc>
          <w:tcPr>
            <w:tcW w:type="dxa" w:w="2555"/>
          </w:tcPr>
          <w:p>
            <w:r>
              <w:rPr>
                <w:rFonts w:ascii="Times New Roman" w:hAnsi="Times New Roman" w:eastAsia="Times New Roman"/>
                <w:b w:val="0"/>
                <w:i w:val="0"/>
                <w:sz w:val="18"/>
              </w:rPr>
              <w:t>[25]</w:t>
            </w:r>
          </w:p>
        </w:tc>
      </w:tr>
      <w:tr>
        <w:tc>
          <w:tcPr>
            <w:tcW w:type="dxa" w:w="2555"/>
          </w:tcPr>
          <w:p>
            <w:r>
              <w:rPr>
                <w:rFonts w:ascii="Times New Roman" w:hAnsi="Times New Roman" w:eastAsia="Times New Roman"/>
                <w:b w:val="0"/>
                <w:i w:val="0"/>
                <w:sz w:val="18"/>
              </w:rPr>
              <w:t>BFCL</w:t>
            </w:r>
          </w:p>
        </w:tc>
        <w:tc>
          <w:tcPr>
            <w:tcW w:type="dxa" w:w="2555"/>
          </w:tcPr>
          <w:p>
            <w:r>
              <w:rPr>
                <w:rFonts w:ascii="Times New Roman" w:hAnsi="Times New Roman" w:eastAsia="Times New Roman"/>
                <w:b w:val="0"/>
                <w:i w:val="0"/>
                <w:sz w:val="18"/>
              </w:rPr>
              <w:t>Function calling</w:t>
            </w:r>
          </w:p>
        </w:tc>
        <w:tc>
          <w:tcPr>
            <w:tcW w:type="dxa" w:w="2555"/>
          </w:tcPr>
          <w:p>
            <w:r>
              <w:rPr>
                <w:rFonts w:ascii="Times New Roman" w:hAnsi="Times New Roman" w:eastAsia="Times New Roman"/>
                <w:b w:val="0"/>
                <w:i w:val="0"/>
                <w:sz w:val="18"/>
              </w:rPr>
              <w:t>Tool invocation accuracy</w:t>
            </w:r>
          </w:p>
        </w:tc>
        <w:tc>
          <w:tcPr>
            <w:tcW w:type="dxa" w:w="2555"/>
          </w:tcPr>
          <w:p>
            <w:r>
              <w:rPr>
                <w:rFonts w:ascii="Times New Roman" w:hAnsi="Times New Roman" w:eastAsia="Times New Roman"/>
                <w:b w:val="0"/>
                <w:i w:val="0"/>
                <w:sz w:val="18"/>
              </w:rPr>
              <w:t>[27]</w:t>
            </w:r>
          </w:p>
        </w:tc>
      </w:tr>
      <w:tr>
        <w:tc>
          <w:tcPr>
            <w:tcW w:type="dxa" w:w="2555"/>
          </w:tcPr>
          <w:p>
            <w:r>
              <w:rPr>
                <w:rFonts w:ascii="Times New Roman" w:hAnsi="Times New Roman" w:eastAsia="Times New Roman"/>
                <w:b w:val="0"/>
                <w:i w:val="0"/>
                <w:sz w:val="18"/>
              </w:rPr>
              <w:t>MASEval</w:t>
            </w:r>
          </w:p>
        </w:tc>
        <w:tc>
          <w:tcPr>
            <w:tcW w:type="dxa" w:w="2555"/>
          </w:tcPr>
          <w:p>
            <w:r>
              <w:rPr>
                <w:rFonts w:ascii="Times New Roman" w:hAnsi="Times New Roman" w:eastAsia="Times New Roman"/>
                <w:b w:val="0"/>
                <w:i w:val="0"/>
                <w:sz w:val="18"/>
              </w:rPr>
              <w:t>Multi-agent systems</w:t>
            </w:r>
          </w:p>
        </w:tc>
        <w:tc>
          <w:tcPr>
            <w:tcW w:type="dxa" w:w="2555"/>
          </w:tcPr>
          <w:p>
            <w:r>
              <w:rPr>
                <w:rFonts w:ascii="Times New Roman" w:hAnsi="Times New Roman" w:eastAsia="Times New Roman"/>
                <w:b w:val="0"/>
                <w:i w:val="0"/>
                <w:sz w:val="18"/>
              </w:rPr>
              <w:t>System-level score</w:t>
            </w:r>
          </w:p>
        </w:tc>
        <w:tc>
          <w:tcPr>
            <w:tcW w:type="dxa" w:w="2555"/>
          </w:tcPr>
          <w:p>
            <w:r>
              <w:rPr>
                <w:rFonts w:ascii="Times New Roman" w:hAnsi="Times New Roman" w:eastAsia="Times New Roman"/>
                <w:b w:val="0"/>
                <w:i w:val="0"/>
                <w:sz w:val="18"/>
              </w:rPr>
              <w:t>[21]</w:t>
            </w:r>
          </w:p>
        </w:tc>
      </w:tr>
    </w:tbl>
    <w:p/>
    <w:p>
      <w:pPr>
        <w:spacing w:before="120" w:after="80"/>
      </w:pPr>
      <w:r>
        <w:rPr>
          <w:rFonts w:ascii="Times New Roman" w:hAnsi="Times New Roman" w:eastAsia="Times New Roman"/>
          <w:b/>
          <w:i w:val="0"/>
          <w:sz w:val="20"/>
        </w:rPr>
        <w:t>VII. APPLICATIONS</w:t>
      </w:r>
    </w:p>
    <w:p>
      <w:pPr>
        <w:spacing w:after="120" w:line="240" w:lineRule="auto"/>
        <w:jc w:val="both"/>
      </w:pPr>
      <w:r>
        <w:rPr>
          <w:rFonts w:ascii="Times New Roman" w:hAnsi="Times New Roman" w:eastAsia="Times New Roman"/>
          <w:b w:val="0"/>
          <w:i w:val="0"/>
          <w:sz w:val="20"/>
        </w:rPr>
        <w:t>Agentic AI has been applied across scientific discovery, software engineering, healthcare, finance, and education [1], [4], [12]. Wang et al. [1] catalog applications in social science (simulation and survey automation), natural science (experiment planning and literature synthesis), and engineering (code generation and DevOps). In software engineering, agents such as SWE-Agent [28] demonstrate that specialized interfaces and ReAct-style loops can resolve real GitHub issues. Biomedical and materials-science agents integrate domain tools for hypothesis generation and structured data retrieval [12]. Nevertheless, domain-specific customization often outperforms general-purpose agents on specialized benchmarks, though recent studies show narrowing gaps on several tasks [14].</w:t>
      </w:r>
    </w:p>
    <w:p>
      <w:pPr>
        <w:spacing w:before="120" w:after="80"/>
      </w:pPr>
      <w:r>
        <w:rPr>
          <w:rFonts w:ascii="Times New Roman" w:hAnsi="Times New Roman" w:eastAsia="Times New Roman"/>
          <w:b/>
          <w:i w:val="0"/>
          <w:sz w:val="20"/>
        </w:rPr>
        <w:t>VIII. CHALLENGES AND OPEN PROBLEMS</w:t>
      </w:r>
    </w:p>
    <w:p>
      <w:pPr>
        <w:spacing w:before="80" w:after="40"/>
      </w:pPr>
      <w:r>
        <w:rPr>
          <w:rFonts w:ascii="Times New Roman" w:hAnsi="Times New Roman" w:eastAsia="Times New Roman"/>
          <w:b/>
          <w:i/>
          <w:sz w:val="20"/>
        </w:rPr>
        <w:t>A. Reliability and Safety</w:t>
      </w:r>
    </w:p>
    <w:p>
      <w:pPr>
        <w:spacing w:after="120" w:line="240" w:lineRule="auto"/>
        <w:jc w:val="both"/>
      </w:pPr>
      <w:r>
        <w:rPr>
          <w:rFonts w:ascii="Times New Roman" w:hAnsi="Times New Roman" w:eastAsia="Times New Roman"/>
          <w:b w:val="0"/>
          <w:i w:val="0"/>
          <w:sz w:val="20"/>
        </w:rPr>
        <w:t>Agentic systems amplify LLM failure modes: hallucinated tool calls, infinite loops, and cascading errors across multi-step trajectories [5], [9]. Safety benchmarks including Agent-SafetyBench [29] and red-teaming studies reveal vulnerabilities to prompt injection, data exfiltration via tools, and unsafe action sequences [12]. Production systems require guardrails, human-in-the-loop approval, and formal verification of critical actions [4], [7].</w:t>
      </w:r>
    </w:p>
    <w:p>
      <w:pPr>
        <w:spacing w:before="80" w:after="40"/>
      </w:pPr>
      <w:r>
        <w:rPr>
          <w:rFonts w:ascii="Times New Roman" w:hAnsi="Times New Roman" w:eastAsia="Times New Roman"/>
          <w:b/>
          <w:i/>
          <w:sz w:val="20"/>
        </w:rPr>
        <w:t>B. Cost and Efficiency</w:t>
      </w:r>
    </w:p>
    <w:p>
      <w:pPr>
        <w:spacing w:after="120" w:line="240" w:lineRule="auto"/>
        <w:jc w:val="both"/>
      </w:pPr>
      <w:r>
        <w:rPr>
          <w:rFonts w:ascii="Times New Roman" w:hAnsi="Times New Roman" w:eastAsia="Times New Roman"/>
          <w:b w:val="0"/>
          <w:i w:val="0"/>
          <w:sz w:val="20"/>
        </w:rPr>
        <w:t>Each reasoning step, reflection cycle, and tool call incurs API latency and token cost. Exgentic [14] reports wide variation in cost-per-task across agent architectures and notes that open-weight models exhibit "generality sinks"—collapse on specific architectures or benchmarks absent in frontier closed-source models. Efficient agent design must jointly optimize accuracy, latency, and dollar cost [7], [8].</w:t>
      </w:r>
    </w:p>
    <w:p>
      <w:pPr>
        <w:spacing w:before="80" w:after="40"/>
      </w:pPr>
      <w:r>
        <w:rPr>
          <w:rFonts w:ascii="Times New Roman" w:hAnsi="Times New Roman" w:eastAsia="Times New Roman"/>
          <w:b/>
          <w:i/>
          <w:sz w:val="20"/>
        </w:rPr>
        <w:t>C. Reproducibility</w:t>
      </w:r>
    </w:p>
    <w:p>
      <w:pPr>
        <w:spacing w:after="120" w:line="240" w:lineRule="auto"/>
        <w:jc w:val="both"/>
      </w:pPr>
      <w:r>
        <w:rPr>
          <w:rFonts w:ascii="Times New Roman" w:hAnsi="Times New Roman" w:eastAsia="Times New Roman"/>
          <w:b w:val="0"/>
          <w:i w:val="0"/>
          <w:sz w:val="20"/>
        </w:rPr>
        <w:t>Non-deterministic sampling, evolving APIs, and live web environments hinder reproducible evaluation [3], [7]. Recent frameworks adopt static environment snapshots, fixed scaffolds, and open trace logging to improve comparability [3], [14], [21].</w:t>
      </w:r>
    </w:p>
    <w:p>
      <w:pPr>
        <w:jc w:val="center"/>
      </w:pPr>
      <w:r>
        <w:drawing>
          <wp:inline xmlns:a="http://schemas.openxmlformats.org/drawingml/2006/main" xmlns:pic="http://schemas.openxmlformats.org/drawingml/2006/picture">
            <wp:extent cx="2926080" cy="1068426"/>
            <wp:docPr id="3" name="Picture 3"/>
            <wp:cNvGraphicFramePr>
              <a:graphicFrameLocks noChangeAspect="1"/>
            </wp:cNvGraphicFramePr>
            <a:graphic>
              <a:graphicData uri="http://schemas.openxmlformats.org/drawingml/2006/picture">
                <pic:pic>
                  <pic:nvPicPr>
                    <pic:cNvPr id="0" name="agentic_timeline.png"/>
                    <pic:cNvPicPr/>
                  </pic:nvPicPr>
                  <pic:blipFill>
                    <a:blip r:embed="rId11"/>
                    <a:stretch>
                      <a:fillRect/>
                    </a:stretch>
                  </pic:blipFill>
                  <pic:spPr>
                    <a:xfrm>
                      <a:off x="0" y="0"/>
                      <a:ext cx="2926080" cy="1068426"/>
                    </a:xfrm>
                    <a:prstGeom prst="rect"/>
                  </pic:spPr>
                </pic:pic>
              </a:graphicData>
            </a:graphic>
          </wp:inline>
        </w:drawing>
      </w:r>
    </w:p>
    <w:p>
      <w:pPr>
        <w:jc w:val="center"/>
      </w:pPr>
      <w:r>
        <w:rPr>
          <w:rFonts w:ascii="Times New Roman" w:hAnsi="Times New Roman" w:eastAsia="Times New Roman"/>
          <w:b w:val="0"/>
          <w:i/>
          <w:sz w:val="18"/>
        </w:rPr>
        <w:t>Fig. 3. Selected milestones in agentic AI research (2022–2025).</w:t>
      </w:r>
    </w:p>
    <w:p>
      <w:pPr>
        <w:spacing w:before="80" w:after="40"/>
      </w:pPr>
      <w:r>
        <w:rPr>
          <w:rFonts w:ascii="Times New Roman" w:hAnsi="Times New Roman" w:eastAsia="Times New Roman"/>
          <w:b/>
          <w:i/>
          <w:sz w:val="20"/>
        </w:rPr>
        <w:t>D. Societal and Ethical Implications</w:t>
      </w:r>
    </w:p>
    <w:p>
      <w:pPr>
        <w:spacing w:after="120" w:line="240" w:lineRule="auto"/>
        <w:jc w:val="both"/>
      </w:pPr>
      <w:r>
        <w:rPr>
          <w:rFonts w:ascii="Times New Roman" w:hAnsi="Times New Roman" w:eastAsia="Times New Roman"/>
          <w:b w:val="0"/>
          <w:i w:val="0"/>
          <w:sz w:val="20"/>
        </w:rPr>
        <w:t>Pati [4] and related work highlight alignment risks, accountability gaps, and labor displacement concerns as agents gain autonomy in customer service, software engineering, and scientific research. Dual-use capabilities—autonomous code execution, web access, and data exfiltration via tools—require governance frameworks, audit trails, and human oversight for high-stakes decisions [4], [29].</w:t>
      </w:r>
    </w:p>
    <w:p>
      <w:pPr>
        <w:jc w:val="center"/>
      </w:pPr>
      <w:r>
        <w:drawing>
          <wp:inline xmlns:a="http://schemas.openxmlformats.org/drawingml/2006/main" xmlns:pic="http://schemas.openxmlformats.org/drawingml/2006/picture">
            <wp:extent cx="2926080" cy="1346261"/>
            <wp:docPr id="4" name="Picture 4"/>
            <wp:cNvGraphicFramePr>
              <a:graphicFrameLocks noChangeAspect="1"/>
            </wp:cNvGraphicFramePr>
            <a:graphic>
              <a:graphicData uri="http://schemas.openxmlformats.org/drawingml/2006/picture">
                <pic:pic>
                  <pic:nvPicPr>
                    <pic:cNvPr id="0" name="framework_comparison.png"/>
                    <pic:cNvPicPr/>
                  </pic:nvPicPr>
                  <pic:blipFill>
                    <a:blip r:embed="rId12"/>
                    <a:stretch>
                      <a:fillRect/>
                    </a:stretch>
                  </pic:blipFill>
                  <pic:spPr>
                    <a:xfrm>
                      <a:off x="0" y="0"/>
                      <a:ext cx="2926080" cy="1346261"/>
                    </a:xfrm>
                    <a:prstGeom prst="rect"/>
                  </pic:spPr>
                </pic:pic>
              </a:graphicData>
            </a:graphic>
          </wp:inline>
        </w:drawing>
      </w:r>
    </w:p>
    <w:p>
      <w:pPr>
        <w:jc w:val="center"/>
      </w:pPr>
      <w:r>
        <w:rPr>
          <w:rFonts w:ascii="Times New Roman" w:hAnsi="Times New Roman" w:eastAsia="Times New Roman"/>
          <w:b w:val="0"/>
          <w:i/>
          <w:sz w:val="18"/>
        </w:rPr>
        <w:t>Fig. 4. Illustrative framework ecosystem maturity comparison.</w:t>
      </w:r>
    </w:p>
    <w:p>
      <w:pPr>
        <w:spacing w:before="120" w:after="80"/>
      </w:pPr>
      <w:r>
        <w:rPr>
          <w:rFonts w:ascii="Times New Roman" w:hAnsi="Times New Roman" w:eastAsia="Times New Roman"/>
          <w:b/>
          <w:i w:val="0"/>
          <w:sz w:val="20"/>
        </w:rPr>
        <w:t>IX. FUTURE RESEARCH DIRECTIONS</w:t>
      </w:r>
    </w:p>
    <w:p>
      <w:pPr>
        <w:spacing w:after="120" w:line="240" w:lineRule="auto"/>
        <w:jc w:val="both"/>
      </w:pPr>
      <w:r>
        <w:rPr>
          <w:rFonts w:ascii="Times New Roman" w:hAnsi="Times New Roman" w:eastAsia="Times New Roman"/>
          <w:b w:val="0"/>
          <w:i w:val="0"/>
          <w:sz w:val="20"/>
        </w:rPr>
        <w:t>The literature points to several high-impact research directions: (1) system-level evaluation that treats framework topology and orchestration as first-class variables [21]; (2) unified, multi-dimensional benchmarking spanning safety, cost, and coordination [7], [8]; (3) reinforcement learning for dynamic tool selection and long-horizon planning [12]; (4) standardized agent protocols with formal security models [11]; (5) neuro-symbolic integration for verifiable reasoning in high-stakes domains [4]; and (6) human-agent collaboration frameworks that balance autonomy with accountability [2], [4].</w:t>
      </w:r>
    </w:p>
    <w:p>
      <w:pPr>
        <w:spacing w:before="120" w:after="80"/>
      </w:pPr>
      <w:r>
        <w:rPr>
          <w:rFonts w:ascii="Times New Roman" w:hAnsi="Times New Roman" w:eastAsia="Times New Roman"/>
          <w:b/>
          <w:i w:val="0"/>
          <w:sz w:val="20"/>
        </w:rPr>
        <w:t>X. CONCLUSION</w:t>
      </w:r>
    </w:p>
    <w:p>
      <w:pPr>
        <w:spacing w:after="120" w:line="240" w:lineRule="auto"/>
        <w:jc w:val="both"/>
      </w:pPr>
      <w:r>
        <w:rPr>
          <w:rFonts w:ascii="Times New Roman" w:hAnsi="Times New Roman" w:eastAsia="Times New Roman"/>
          <w:b w:val="0"/>
          <w:i w:val="0"/>
          <w:sz w:val="20"/>
        </w:rPr>
        <w:t>Agentic AI represents a maturing research field that unites LLM reasoning, tool-augmented action, and multi-agent interaction into deployable systems. Foundational paradigms from ReAct to Reflexion established the inference-time control loop; frameworks from LangGraph to AutoGen operationalized multi-agent workflows; and benchmarks from AgentBench to GAIA began measuring real-world competence. Yet the transition from impressive demonstrations to dependable production systems requires advances in system-level evaluation, safety engineering, and cost-aware architecture design. This review provides a structured entry point for researchers and practitioners navigating this rapidly evolving landscape.</w:t>
      </w:r>
    </w:p>
    <w:p>
      <w:pPr>
        <w:spacing w:before="120" w:after="80"/>
      </w:pPr>
      <w:r>
        <w:rPr>
          <w:rFonts w:ascii="Times New Roman" w:hAnsi="Times New Roman" w:eastAsia="Times New Roman"/>
          <w:b/>
          <w:i w:val="0"/>
          <w:sz w:val="20"/>
        </w:rPr>
        <w:t>ACKNOWLEDGMENT</w:t>
      </w:r>
    </w:p>
    <w:p>
      <w:pPr>
        <w:spacing w:after="120" w:line="240" w:lineRule="auto"/>
        <w:jc w:val="both"/>
      </w:pPr>
      <w:r>
        <w:rPr>
          <w:rFonts w:ascii="Times New Roman" w:hAnsi="Times New Roman" w:eastAsia="Times New Roman"/>
          <w:b w:val="0"/>
          <w:i w:val="0"/>
          <w:sz w:val="20"/>
        </w:rPr>
        <w:t>The author thanks the open research community for maintaining survey repositories and benchmark suites that made this review possible. An interactive learning companion (agentic_ai_explorer.html) accompanies this paper.</w:t>
      </w:r>
    </w:p>
    <w:p>
      <w:pPr>
        <w:spacing w:before="120" w:after="80"/>
      </w:pPr>
      <w:r>
        <w:rPr>
          <w:rFonts w:ascii="Times New Roman" w:hAnsi="Times New Roman" w:eastAsia="Times New Roman"/>
          <w:b/>
          <w:i w:val="0"/>
          <w:sz w:val="20"/>
        </w:rPr>
        <w:t>REFERENCES</w:t>
      </w:r>
    </w:p>
    <w:p>
      <w:pPr>
        <w:spacing w:after="40"/>
        <w:ind w:left="280" w:hanging="280"/>
      </w:pPr>
      <w:r>
        <w:rPr>
          <w:rFonts w:ascii="Times New Roman" w:hAnsi="Times New Roman" w:eastAsia="Times New Roman"/>
          <w:b w:val="0"/>
          <w:i w:val="0"/>
          <w:sz w:val="18"/>
        </w:rPr>
        <w:t>[1] L. Wang et al., "A survey on large language model based autonomous agents," Frontiers of Computer Science, vol. 18, no. 6, Art. no. 186345, Dec. 2024.</w:t>
      </w:r>
    </w:p>
    <w:p>
      <w:pPr>
        <w:spacing w:after="40"/>
        <w:ind w:left="280" w:hanging="280"/>
      </w:pPr>
      <w:r>
        <w:rPr>
          <w:rFonts w:ascii="Times New Roman" w:hAnsi="Times New Roman" w:eastAsia="Times New Roman"/>
          <w:b w:val="0"/>
          <w:i w:val="0"/>
          <w:sz w:val="18"/>
        </w:rPr>
        <w:t>[2] Y. Xi et al., "Agentic large language models, a survey," arXiv preprint arXiv:2503.23037, 2025.</w:t>
      </w:r>
    </w:p>
    <w:p>
      <w:pPr>
        <w:spacing w:after="40"/>
        <w:ind w:left="280" w:hanging="280"/>
      </w:pPr>
      <w:r>
        <w:rPr>
          <w:rFonts w:ascii="Times New Roman" w:hAnsi="Times New Roman" w:eastAsia="Times New Roman"/>
          <w:b w:val="0"/>
          <w:i w:val="0"/>
          <w:sz w:val="18"/>
        </w:rPr>
        <w:t>[3] Y. Ling et al., "A unified framework for the evaluation of LLM agentic capabilities," arXiv preprint arXiv:2605.27898, 2026.</w:t>
      </w:r>
    </w:p>
    <w:p>
      <w:pPr>
        <w:spacing w:after="40"/>
        <w:ind w:left="280" w:hanging="280"/>
      </w:pPr>
      <w:r>
        <w:rPr>
          <w:rFonts w:ascii="Times New Roman" w:hAnsi="Times New Roman" w:eastAsia="Times New Roman"/>
          <w:b w:val="0"/>
          <w:i w:val="0"/>
          <w:sz w:val="18"/>
        </w:rPr>
        <w:t>[4] A. K. Pati, "Agentic AI: A comprehensive survey of technologies, applications, and societal implications," IEEE Access, vol. 13, pp. 151824–151837, 2025.</w:t>
      </w:r>
    </w:p>
    <w:p>
      <w:pPr>
        <w:spacing w:after="40"/>
        <w:ind w:left="280" w:hanging="280"/>
      </w:pPr>
      <w:r>
        <w:rPr>
          <w:rFonts w:ascii="Times New Roman" w:hAnsi="Times New Roman" w:eastAsia="Times New Roman"/>
          <w:b w:val="0"/>
          <w:i w:val="0"/>
          <w:sz w:val="18"/>
        </w:rPr>
        <w:t>[5] Y. Guo et al., "Agentic artificial intelligence (AI): Architectures, taxonomies, and evaluation of large language model agents," arXiv preprint arXiv:2601.12560, 2026.</w:t>
      </w:r>
    </w:p>
    <w:p>
      <w:pPr>
        <w:spacing w:after="40"/>
        <w:ind w:left="280" w:hanging="280"/>
      </w:pPr>
      <w:r>
        <w:rPr>
          <w:rFonts w:ascii="Times New Roman" w:hAnsi="Times New Roman" w:eastAsia="Times New Roman"/>
          <w:b w:val="0"/>
          <w:i w:val="0"/>
          <w:sz w:val="18"/>
        </w:rPr>
        <w:t>[6] T. Brown et al., "Language models are few-shot learners," in Proc. Adv. Neural Inf. Process. Syst. (NeurIPS), 2020.</w:t>
      </w:r>
    </w:p>
    <w:p>
      <w:pPr>
        <w:spacing w:after="40"/>
        <w:ind w:left="280" w:hanging="280"/>
      </w:pPr>
      <w:r>
        <w:rPr>
          <w:rFonts w:ascii="Times New Roman" w:hAnsi="Times New Roman" w:eastAsia="Times New Roman"/>
          <w:b w:val="0"/>
          <w:i w:val="0"/>
          <w:sz w:val="18"/>
        </w:rPr>
        <w:t>[7] Anonymous, "Evaluation and benchmarking of generative and agentic AI systems: A comprehensive survey," Preprints.org, 2025.</w:t>
      </w:r>
    </w:p>
    <w:p>
      <w:pPr>
        <w:spacing w:after="40"/>
        <w:ind w:left="280" w:hanging="280"/>
      </w:pPr>
      <w:r>
        <w:rPr>
          <w:rFonts w:ascii="Times New Roman" w:hAnsi="Times New Roman" w:eastAsia="Times New Roman"/>
          <w:b w:val="0"/>
          <w:i w:val="0"/>
          <w:sz w:val="18"/>
        </w:rPr>
        <w:t>[8] Stanford HAI, "Artificial Intelligence Index Report 2025," Stanford Univ., Stanford, CA, USA, 2025.</w:t>
      </w:r>
    </w:p>
    <w:p>
      <w:pPr>
        <w:spacing w:after="40"/>
        <w:ind w:left="280" w:hanging="280"/>
      </w:pPr>
      <w:r>
        <w:rPr>
          <w:rFonts w:ascii="Times New Roman" w:hAnsi="Times New Roman" w:eastAsia="Times New Roman"/>
          <w:b w:val="0"/>
          <w:i w:val="0"/>
          <w:sz w:val="18"/>
        </w:rPr>
        <w:t>[9] S. Yao et al., "ReAct: Synergizing reasoning and acting in language models," arXiv preprint arXiv:2210.03629, 2022.</w:t>
      </w:r>
    </w:p>
    <w:p>
      <w:pPr>
        <w:spacing w:after="40"/>
        <w:ind w:left="280" w:hanging="280"/>
      </w:pPr>
      <w:r>
        <w:rPr>
          <w:rFonts w:ascii="Times New Roman" w:hAnsi="Times New Roman" w:eastAsia="Times New Roman"/>
          <w:b w:val="0"/>
          <w:i w:val="0"/>
          <w:sz w:val="18"/>
        </w:rPr>
        <w:t>[10] T. Schick et al., "Toolformer: Language models can teach themselves to use tools," in Proc. Adv. Neural Inf. Process. Syst. (NeurIPS), 2023.</w:t>
      </w:r>
    </w:p>
    <w:p>
      <w:pPr>
        <w:spacing w:after="40"/>
        <w:ind w:left="280" w:hanging="280"/>
      </w:pPr>
      <w:r>
        <w:rPr>
          <w:rFonts w:ascii="Times New Roman" w:hAnsi="Times New Roman" w:eastAsia="Times New Roman"/>
          <w:b w:val="0"/>
          <w:i w:val="0"/>
          <w:sz w:val="18"/>
        </w:rPr>
        <w:t>[11] Anthropic, "Model Context Protocol specification," 2024. [Online]. Available: https://modelcontextprotocol.io</w:t>
      </w:r>
    </w:p>
    <w:p>
      <w:pPr>
        <w:spacing w:after="40"/>
        <w:ind w:left="280" w:hanging="280"/>
      </w:pPr>
      <w:r>
        <w:rPr>
          <w:rFonts w:ascii="Times New Roman" w:hAnsi="Times New Roman" w:eastAsia="Times New Roman"/>
          <w:b w:val="0"/>
          <w:i w:val="0"/>
          <w:sz w:val="18"/>
        </w:rPr>
        <w:t>[12] H. Wang et al., "From LLM reasoning to autonomous AI agents: A comprehensive review," arXiv preprint arXiv:2504.19678, 2025.</w:t>
      </w:r>
    </w:p>
    <w:p>
      <w:pPr>
        <w:spacing w:after="40"/>
        <w:ind w:left="280" w:hanging="280"/>
      </w:pPr>
      <w:r>
        <w:rPr>
          <w:rFonts w:ascii="Times New Roman" w:hAnsi="Times New Roman" w:eastAsia="Times New Roman"/>
          <w:b w:val="0"/>
          <w:i w:val="0"/>
          <w:sz w:val="18"/>
        </w:rPr>
        <w:t>[13] N. Shinn et al., "Reflexion: Language agents with verbal reinforcement learning," in Proc. Adv. Neural Inf. Process. Syst. (NeurIPS), 2023.</w:t>
      </w:r>
    </w:p>
    <w:p>
      <w:pPr>
        <w:spacing w:after="40"/>
        <w:ind w:left="280" w:hanging="280"/>
      </w:pPr>
      <w:r>
        <w:rPr>
          <w:rFonts w:ascii="Times New Roman" w:hAnsi="Times New Roman" w:eastAsia="Times New Roman"/>
          <w:b w:val="0"/>
          <w:i w:val="0"/>
          <w:sz w:val="18"/>
        </w:rPr>
        <w:t>[14] Exgentic Research, "General agent evaluation," arXiv preprint arXiv:2602.22953, 2026.</w:t>
      </w:r>
    </w:p>
    <w:p>
      <w:pPr>
        <w:spacing w:after="40"/>
        <w:ind w:left="280" w:hanging="280"/>
      </w:pPr>
      <w:r>
        <w:rPr>
          <w:rFonts w:ascii="Times New Roman" w:hAnsi="Times New Roman" w:eastAsia="Times New Roman"/>
          <w:b w:val="0"/>
          <w:i w:val="0"/>
          <w:sz w:val="18"/>
        </w:rPr>
        <w:t>[15] Significant Gravitas, "AutoGPT: An autonomous GPT-4 experiment," GitHub repository, 2023.</w:t>
      </w:r>
    </w:p>
    <w:p>
      <w:pPr>
        <w:spacing w:after="40"/>
        <w:ind w:left="280" w:hanging="280"/>
      </w:pPr>
      <w:r>
        <w:rPr>
          <w:rFonts w:ascii="Times New Roman" w:hAnsi="Times New Roman" w:eastAsia="Times New Roman"/>
          <w:b w:val="0"/>
          <w:i w:val="0"/>
          <w:sz w:val="18"/>
        </w:rPr>
        <w:t>[16] G. Li et al., "CAMEL: Communicative agents for mind exploration of large language model society," in Proc. Adv. Neural Inf. Process. Syst. (NeurIPS), 2023.</w:t>
      </w:r>
    </w:p>
    <w:p>
      <w:pPr>
        <w:spacing w:after="40"/>
        <w:ind w:left="280" w:hanging="280"/>
      </w:pPr>
      <w:r>
        <w:rPr>
          <w:rFonts w:ascii="Times New Roman" w:hAnsi="Times New Roman" w:eastAsia="Times New Roman"/>
          <w:b w:val="0"/>
          <w:i w:val="0"/>
          <w:sz w:val="18"/>
        </w:rPr>
        <w:t>[17] Q. Wu et al., "AutoGen: Enabling next-gen LLM applications via multi-agent conversation," arXiv preprint arXiv:2308.08155, 2023.</w:t>
      </w:r>
    </w:p>
    <w:p>
      <w:pPr>
        <w:spacing w:after="40"/>
        <w:ind w:left="280" w:hanging="280"/>
      </w:pPr>
      <w:r>
        <w:rPr>
          <w:rFonts w:ascii="Times New Roman" w:hAnsi="Times New Roman" w:eastAsia="Times New Roman"/>
          <w:b w:val="0"/>
          <w:i w:val="0"/>
          <w:sz w:val="18"/>
        </w:rPr>
        <w:t>[18] S. Hong et al., "MetaGPT: Meta programming for multi-agent collaborative framework," in Proc. Int. Conf. Learn. Represent. (ICLR), 2024.</w:t>
      </w:r>
    </w:p>
    <w:p>
      <w:pPr>
        <w:spacing w:after="40"/>
        <w:ind w:left="280" w:hanging="280"/>
      </w:pPr>
      <w:r>
        <w:rPr>
          <w:rFonts w:ascii="Times New Roman" w:hAnsi="Times New Roman" w:eastAsia="Times New Roman"/>
          <w:b w:val="0"/>
          <w:i w:val="0"/>
          <w:sz w:val="18"/>
        </w:rPr>
        <w:t>[19] J. Xi et al., "The rise and potential of large language model based agents: A survey," arXiv preprint arXiv:2309.07864, 2023.</w:t>
      </w:r>
    </w:p>
    <w:p>
      <w:pPr>
        <w:spacing w:after="40"/>
        <w:ind w:left="280" w:hanging="280"/>
      </w:pPr>
      <w:r>
        <w:rPr>
          <w:rFonts w:ascii="Times New Roman" w:hAnsi="Times New Roman" w:eastAsia="Times New Roman"/>
          <w:b w:val="0"/>
          <w:i w:val="0"/>
          <w:sz w:val="18"/>
        </w:rPr>
        <w:t>[20] L. Chen et al., "Large language model-based multi-agents: A survey of progress and challenges," in Proc. IJCAI, 2024, pp. 8048–8057.</w:t>
      </w:r>
    </w:p>
    <w:p>
      <w:pPr>
        <w:spacing w:after="40"/>
        <w:ind w:left="280" w:hanging="280"/>
      </w:pPr>
      <w:r>
        <w:rPr>
          <w:rFonts w:ascii="Times New Roman" w:hAnsi="Times New Roman" w:eastAsia="Times New Roman"/>
          <w:b w:val="0"/>
          <w:i w:val="0"/>
          <w:sz w:val="18"/>
        </w:rPr>
        <w:t>[21] O. Wiest et al., "MASEval: Extending multi-agent evaluation from models to systems," arXiv preprint arXiv:2603.08835, 2026.</w:t>
      </w:r>
    </w:p>
    <w:p>
      <w:pPr>
        <w:spacing w:after="40"/>
        <w:ind w:left="280" w:hanging="280"/>
      </w:pPr>
      <w:r>
        <w:rPr>
          <w:rFonts w:ascii="Times New Roman" w:hAnsi="Times New Roman" w:eastAsia="Times New Roman"/>
          <w:b w:val="0"/>
          <w:i w:val="0"/>
          <w:sz w:val="18"/>
        </w:rPr>
        <w:t>[22] X. Liu et al., "AgentBench: Evaluating LLMs as agents," in Proc. Int. Conf. Learn. Represent. (ICLR), 2024.</w:t>
      </w:r>
    </w:p>
    <w:p>
      <w:pPr>
        <w:spacing w:after="40"/>
        <w:ind w:left="280" w:hanging="280"/>
      </w:pPr>
      <w:r>
        <w:rPr>
          <w:rFonts w:ascii="Times New Roman" w:hAnsi="Times New Roman" w:eastAsia="Times New Roman"/>
          <w:b w:val="0"/>
          <w:i w:val="0"/>
          <w:sz w:val="18"/>
        </w:rPr>
        <w:t>[23] G. Mialon et al., "GAIA: A benchmark for general AI assistants," in Proc. Int. Conf. Learn. Represent. (ICLR), 2024.</w:t>
      </w:r>
    </w:p>
    <w:p>
      <w:pPr>
        <w:spacing w:after="40"/>
        <w:ind w:left="280" w:hanging="280"/>
      </w:pPr>
      <w:r>
        <w:rPr>
          <w:rFonts w:ascii="Times New Roman" w:hAnsi="Times New Roman" w:eastAsia="Times New Roman"/>
          <w:b w:val="0"/>
          <w:i w:val="0"/>
          <w:sz w:val="18"/>
        </w:rPr>
        <w:t>[24] C. Jimenez et al., "SWE-bench: Can language models resolve real-world GitHub issues?" in Proc. Int. Conf. Learn. Represent. (ICLR), 2024.</w:t>
      </w:r>
    </w:p>
    <w:p>
      <w:pPr>
        <w:spacing w:after="40"/>
        <w:ind w:left="280" w:hanging="280"/>
      </w:pPr>
      <w:r>
        <w:rPr>
          <w:rFonts w:ascii="Times New Roman" w:hAnsi="Times New Roman" w:eastAsia="Times New Roman"/>
          <w:b w:val="0"/>
          <w:i w:val="0"/>
          <w:sz w:val="18"/>
        </w:rPr>
        <w:t>[25] S. Yao et al., "τ-bench: A benchmark for tool-agent-user interaction in real-world domains," arXiv preprint arXiv:2410.24185, 2024.</w:t>
      </w:r>
    </w:p>
    <w:p>
      <w:pPr>
        <w:spacing w:after="40"/>
        <w:ind w:left="280" w:hanging="280"/>
      </w:pPr>
      <w:r>
        <w:rPr>
          <w:rFonts w:ascii="Times New Roman" w:hAnsi="Times New Roman" w:eastAsia="Times New Roman"/>
          <w:b w:val="0"/>
          <w:i w:val="0"/>
          <w:sz w:val="18"/>
        </w:rPr>
        <w:t>[26] Y. Xi et al., "The rise and potential of large language model based agents: A survey," ACM Comput. Surv., 2025.</w:t>
      </w:r>
    </w:p>
    <w:p>
      <w:pPr>
        <w:spacing w:after="40"/>
        <w:ind w:left="280" w:hanging="280"/>
      </w:pPr>
      <w:r>
        <w:rPr>
          <w:rFonts w:ascii="Times New Roman" w:hAnsi="Times New Roman" w:eastAsia="Times New Roman"/>
          <w:b w:val="0"/>
          <w:i w:val="0"/>
          <w:sz w:val="18"/>
        </w:rPr>
        <w:t>[27] S. G. Patil et al., "Gorilla: Large language model connected with massive APIs," in Proc. Adv. Neural Inf. Process. Syst. (NeurIPS), 2024.</w:t>
      </w:r>
    </w:p>
    <w:p>
      <w:pPr>
        <w:spacing w:after="40"/>
        <w:ind w:left="280" w:hanging="280"/>
      </w:pPr>
      <w:r>
        <w:rPr>
          <w:rFonts w:ascii="Times New Roman" w:hAnsi="Times New Roman" w:eastAsia="Times New Roman"/>
          <w:b w:val="0"/>
          <w:i w:val="0"/>
          <w:sz w:val="18"/>
        </w:rPr>
        <w:t>[28] J. Yang et al., "SWE-agent: Agent-computer interfaces enable automated software engineering," arXiv preprint arXiv:2405.15793, 2024.</w:t>
      </w:r>
    </w:p>
    <w:p>
      <w:pPr>
        <w:spacing w:after="40"/>
        <w:ind w:left="280" w:hanging="280"/>
      </w:pPr>
      <w:r>
        <w:rPr>
          <w:rFonts w:ascii="Times New Roman" w:hAnsi="Times New Roman" w:eastAsia="Times New Roman"/>
          <w:b w:val="0"/>
          <w:i w:val="0"/>
          <w:sz w:val="18"/>
        </w:rPr>
        <w:t>[29] Z. Zhang et al., "Agent-safetybench: Evaluating the safety of LLM agents," arXiv preprint arXiv:2412.13178, 2024.</w:t>
      </w:r>
    </w:p>
    <w:p>
      <w:pPr>
        <w:spacing w:after="40"/>
        <w:ind w:left="280" w:hanging="280"/>
      </w:pPr>
      <w:r>
        <w:rPr>
          <w:rFonts w:ascii="Times New Roman" w:hAnsi="Times New Roman" w:eastAsia="Times New Roman"/>
          <w:b w:val="0"/>
          <w:i w:val="0"/>
          <w:sz w:val="18"/>
        </w:rPr>
        <w:t>[30] S. Russell and P. Norvig, Artificial Intelligence: A Modern Approach, 4th ed. Pearson, 2020.</w:t>
      </w:r>
    </w:p>
    <w:p>
      <w:pPr>
        <w:spacing w:after="40"/>
        <w:ind w:left="280" w:hanging="280"/>
      </w:pPr>
      <w:r>
        <w:rPr>
          <w:rFonts w:ascii="Times New Roman" w:hAnsi="Times New Roman" w:eastAsia="Times New Roman"/>
          <w:b w:val="0"/>
          <w:i w:val="0"/>
          <w:sz w:val="18"/>
        </w:rPr>
        <w:t>[31] Y. Wang et al., "MemInsight: Autonomous memory augmentation for LLM agents," arXiv preprint arXiv:2503.21760, 2025.</w:t>
      </w:r>
    </w:p>
    <w:sectPr w:rsidR="00FC693F" w:rsidRPr="0006063C" w:rsidSect="00034616">
      <w:pgSz w:w="12240" w:h="15840"/>
      <w:pgMar w:top="1134" w:right="1009" w:bottom="1440" w:left="1009"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