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SpaceX Stock Information Report</w:t>
      </w:r>
    </w:p>
    <w:p>
      <w:pPr>
        <w:jc w:val="center"/>
      </w:pPr>
      <w:r>
        <w:rPr>
          <w:color w:val="646464"/>
          <w:sz w:val="22"/>
        </w:rPr>
        <w:t>Ticker: NASDAQ: SPCX  |  Report Date: June 15, 2026</w:t>
      </w:r>
    </w:p>
    <w:p/>
    <w:p>
      <w:pPr>
        <w:pStyle w:val="Heading1"/>
      </w:pPr>
      <w:r>
        <w:t>Executive Summary</w:t>
      </w:r>
    </w:p>
    <w:p>
      <w:r>
        <w:t>Space Exploration Technologies Corp. (SpaceX) completed the largest initial public offering in history on June 12, 2026, listing on the Nasdaq under ticker symbol SPCX. The company priced its IPO at $135 per share, raising $75 billion and achieving an initial valuation of approximately $1.75 trillion. On its first trading day, shares surged 19.2% to close at $160.95, pushing market capitalization above $2 trillion. As of June 15, 2026, SPCX trades near $171.91 per share.</w:t>
      </w:r>
    </w:p>
    <w:p>
      <w:pPr>
        <w:pStyle w:val="Heading1"/>
      </w:pPr>
      <w:r>
        <w:t>1. IPO Overview</w:t>
      </w:r>
    </w:p>
    <w:tbl>
      <w:tblPr>
        <w:tblStyle w:val="TableGrid"/>
        <w:tblW w:type="auto" w:w="0"/>
        <w:tblLook w:firstColumn="1" w:firstRow="1" w:lastColumn="0" w:lastRow="0" w:noHBand="0" w:noVBand="1" w:val="04A0"/>
      </w:tblPr>
      <w:tblGrid>
        <w:gridCol w:w="4320"/>
        <w:gridCol w:w="4320"/>
      </w:tblGrid>
      <w:tr>
        <w:tc>
          <w:tcPr>
            <w:tcW w:type="dxa" w:w="4320"/>
            <w:shd w:fill="1F4E79"/>
          </w:tcPr>
          <w:p>
            <w:r>
              <w:rPr>
                <w:b/>
                <w:color w:val="FFFFFF"/>
              </w:rPr>
              <w:t>Metric</w:t>
            </w:r>
          </w:p>
        </w:tc>
        <w:tc>
          <w:tcPr>
            <w:tcW w:type="dxa" w:w="4320"/>
            <w:shd w:fill="1F4E79"/>
          </w:tcPr>
          <w:p>
            <w:r>
              <w:rPr>
                <w:b/>
                <w:color w:val="FFFFFF"/>
              </w:rPr>
              <w:t>Value</w:t>
            </w:r>
          </w:p>
        </w:tc>
      </w:tr>
      <w:tr>
        <w:tc>
          <w:tcPr>
            <w:tcW w:type="dxa" w:w="4320"/>
          </w:tcPr>
          <w:p>
            <w:r>
              <w:t>Ticker Symbol</w:t>
            </w:r>
          </w:p>
        </w:tc>
        <w:tc>
          <w:tcPr>
            <w:tcW w:type="dxa" w:w="4320"/>
          </w:tcPr>
          <w:p>
            <w:r>
              <w:t>SPCX (NASDAQ)</w:t>
            </w:r>
          </w:p>
        </w:tc>
      </w:tr>
      <w:tr>
        <w:tc>
          <w:tcPr>
            <w:tcW w:type="dxa" w:w="4320"/>
          </w:tcPr>
          <w:p>
            <w:r>
              <w:t>IPO Date</w:t>
            </w:r>
          </w:p>
        </w:tc>
        <w:tc>
          <w:tcPr>
            <w:tcW w:type="dxa" w:w="4320"/>
          </w:tcPr>
          <w:p>
            <w:r>
              <w:t>June 12, 2026</w:t>
            </w:r>
          </w:p>
        </w:tc>
      </w:tr>
      <w:tr>
        <w:tc>
          <w:tcPr>
            <w:tcW w:type="dxa" w:w="4320"/>
          </w:tcPr>
          <w:p>
            <w:r>
              <w:t>IPO Price</w:t>
            </w:r>
          </w:p>
        </w:tc>
        <w:tc>
          <w:tcPr>
            <w:tcW w:type="dxa" w:w="4320"/>
          </w:tcPr>
          <w:p>
            <w:r>
              <w:t>$135.00 per share</w:t>
            </w:r>
          </w:p>
        </w:tc>
      </w:tr>
      <w:tr>
        <w:tc>
          <w:tcPr>
            <w:tcW w:type="dxa" w:w="4320"/>
          </w:tcPr>
          <w:p>
            <w:r>
              <w:t>Shares Offered</w:t>
            </w:r>
          </w:p>
        </w:tc>
        <w:tc>
          <w:tcPr>
            <w:tcW w:type="dxa" w:w="4320"/>
          </w:tcPr>
          <w:p>
            <w:r>
              <w:t>555.5 million</w:t>
            </w:r>
          </w:p>
        </w:tc>
      </w:tr>
      <w:tr>
        <w:tc>
          <w:tcPr>
            <w:tcW w:type="dxa" w:w="4320"/>
          </w:tcPr>
          <w:p>
            <w:r>
              <w:t>Capital Raised</w:t>
            </w:r>
          </w:p>
        </w:tc>
        <w:tc>
          <w:tcPr>
            <w:tcW w:type="dxa" w:w="4320"/>
          </w:tcPr>
          <w:p>
            <w:r>
              <w:t>$75 billion</w:t>
            </w:r>
          </w:p>
        </w:tc>
      </w:tr>
      <w:tr>
        <w:tc>
          <w:tcPr>
            <w:tcW w:type="dxa" w:w="4320"/>
          </w:tcPr>
          <w:p>
            <w:r>
              <w:t>IPO Valuation</w:t>
            </w:r>
          </w:p>
        </w:tc>
        <w:tc>
          <w:tcPr>
            <w:tcW w:type="dxa" w:w="4320"/>
          </w:tcPr>
          <w:p>
            <w:r>
              <w:t>$1.75 trillion</w:t>
            </w:r>
          </w:p>
        </w:tc>
      </w:tr>
      <w:tr>
        <w:tc>
          <w:tcPr>
            <w:tcW w:type="dxa" w:w="4320"/>
          </w:tcPr>
          <w:p>
            <w:r>
              <w:t>First-Day Open</w:t>
            </w:r>
          </w:p>
        </w:tc>
        <w:tc>
          <w:tcPr>
            <w:tcW w:type="dxa" w:w="4320"/>
          </w:tcPr>
          <w:p>
            <w:r>
              <w:t>$150.00</w:t>
            </w:r>
          </w:p>
        </w:tc>
      </w:tr>
      <w:tr>
        <w:tc>
          <w:tcPr>
            <w:tcW w:type="dxa" w:w="4320"/>
          </w:tcPr>
          <w:p>
            <w:r>
              <w:t>First-Day Close</w:t>
            </w:r>
          </w:p>
        </w:tc>
        <w:tc>
          <w:tcPr>
            <w:tcW w:type="dxa" w:w="4320"/>
          </w:tcPr>
          <w:p>
            <w:r>
              <w:t>$160.95 (+19.2%)</w:t>
            </w:r>
          </w:p>
        </w:tc>
      </w:tr>
      <w:tr>
        <w:tc>
          <w:tcPr>
            <w:tcW w:type="dxa" w:w="4320"/>
          </w:tcPr>
          <w:p>
            <w:r>
              <w:t>Current Price (Jun 15)</w:t>
            </w:r>
          </w:p>
        </w:tc>
        <w:tc>
          <w:tcPr>
            <w:tcW w:type="dxa" w:w="4320"/>
          </w:tcPr>
          <w:p>
            <w:r>
              <w:t>$171.91</w:t>
            </w:r>
          </w:p>
        </w:tc>
      </w:tr>
      <w:tr>
        <w:tc>
          <w:tcPr>
            <w:tcW w:type="dxa" w:w="4320"/>
          </w:tcPr>
          <w:p>
            <w:r>
              <w:t>Market Capitalization</w:t>
            </w:r>
          </w:p>
        </w:tc>
        <w:tc>
          <w:tcPr>
            <w:tcW w:type="dxa" w:w="4320"/>
          </w:tcPr>
          <w:p>
            <w:r>
              <w:t>~$2.1 trillion</w:t>
            </w:r>
          </w:p>
        </w:tc>
      </w:tr>
      <w:tr>
        <w:tc>
          <w:tcPr>
            <w:tcW w:type="dxa" w:w="4320"/>
          </w:tcPr>
          <w:p>
            <w:r>
              <w:t>Lead Underwriters</w:t>
            </w:r>
          </w:p>
        </w:tc>
        <w:tc>
          <w:tcPr>
            <w:tcW w:type="dxa" w:w="4320"/>
          </w:tcPr>
          <w:p>
            <w:r>
              <w:t>Morgan Stanley, Goldman Sachs, JPMorgan</w:t>
            </w:r>
          </w:p>
        </w:tc>
      </w:tr>
      <w:tr>
        <w:tc>
          <w:tcPr>
            <w:tcW w:type="dxa" w:w="4320"/>
          </w:tcPr>
          <w:p>
            <w:r>
              <w:t>Retail Allocation</w:t>
            </w:r>
          </w:p>
        </w:tc>
        <w:tc>
          <w:tcPr>
            <w:tcW w:type="dxa" w:w="4320"/>
          </w:tcPr>
          <w:p>
            <w:r>
              <w:t>~20–22% of shares</w:t>
            </w:r>
          </w:p>
        </w:tc>
      </w:tr>
    </w:tbl>
    <w:p/>
    <w:p>
      <w:pPr>
        <w:pStyle w:val="Heading1"/>
      </w:pPr>
      <w:r>
        <w:t>2. Stock Price Performance</w:t>
      </w:r>
    </w:p>
    <w:p>
      <w:r>
        <w:t>Figure 1 illustrates SPCX price movement from the final private-market estimate on June 11 through the IPO debut and current trading levels. The stock opened above its IPO price and has continued to attract strong institutional demand in pre-market and regular sessions.</w:t>
      </w:r>
    </w:p>
    <w:p>
      <w:pPr>
        <w:jc w:val="center"/>
      </w:pPr>
      <w:r>
        <w:drawing>
          <wp:inline xmlns:a="http://schemas.openxmlformats.org/drawingml/2006/main" xmlns:pic="http://schemas.openxmlformats.org/drawingml/2006/picture">
            <wp:extent cx="5303520" cy="2954370"/>
            <wp:docPr id="1" name="Picture 1"/>
            <wp:cNvGraphicFramePr>
              <a:graphicFrameLocks noChangeAspect="1"/>
            </wp:cNvGraphicFramePr>
            <a:graphic>
              <a:graphicData uri="http://schemas.openxmlformats.org/drawingml/2006/picture">
                <pic:pic>
                  <pic:nvPicPr>
                    <pic:cNvPr id="0" name="stock_price.png"/>
                    <pic:cNvPicPr/>
                  </pic:nvPicPr>
                  <pic:blipFill>
                    <a:blip r:embed="rId9"/>
                    <a:stretch>
                      <a:fillRect/>
                    </a:stretch>
                  </pic:blipFill>
                  <pic:spPr>
                    <a:xfrm>
                      <a:off x="0" y="0"/>
                      <a:ext cx="5303520" cy="2954370"/>
                    </a:xfrm>
                    <a:prstGeom prst="rect"/>
                  </pic:spPr>
                </pic:pic>
              </a:graphicData>
            </a:graphic>
          </wp:inline>
        </w:drawing>
      </w:r>
    </w:p>
    <w:p>
      <w:pPr>
        <w:jc w:val="center"/>
      </w:pPr>
      <w:r>
        <w:rPr>
          <w:i/>
          <w:color w:val="505050"/>
          <w:sz w:val="18"/>
        </w:rPr>
        <w:t>Figure 1: SPCX share price during IPO week (June 2026)</w:t>
      </w:r>
    </w:p>
    <w:p/>
    <w:p>
      <w:pPr>
        <w:pStyle w:val="Heading1"/>
      </w:pPr>
      <w:r>
        <w:t>3. Financial Performance (2025)</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tcPr>
          <w:p>
            <w:r>
              <w:rPr>
                <w:b/>
                <w:color w:val="FFFFFF"/>
              </w:rPr>
              <w:t>Financial Metric</w:t>
            </w:r>
          </w:p>
        </w:tc>
        <w:tc>
          <w:tcPr>
            <w:tcW w:type="dxa" w:w="2160"/>
            <w:shd w:fill="1F4E79"/>
          </w:tcPr>
          <w:p>
            <w:r>
              <w:rPr>
                <w:b/>
                <w:color w:val="FFFFFF"/>
              </w:rPr>
              <w:t>2024</w:t>
            </w:r>
          </w:p>
        </w:tc>
        <w:tc>
          <w:tcPr>
            <w:tcW w:type="dxa" w:w="2160"/>
            <w:shd w:fill="1F4E79"/>
          </w:tcPr>
          <w:p>
            <w:r>
              <w:rPr>
                <w:b/>
                <w:color w:val="FFFFFF"/>
              </w:rPr>
              <w:t>2025</w:t>
            </w:r>
          </w:p>
        </w:tc>
        <w:tc>
          <w:tcPr>
            <w:tcW w:type="dxa" w:w="2160"/>
            <w:shd w:fill="1F4E79"/>
          </w:tcPr>
          <w:p>
            <w:r>
              <w:rPr>
                <w:b/>
                <w:color w:val="FFFFFF"/>
              </w:rPr>
              <w:t>YoY Change</w:t>
            </w:r>
          </w:p>
        </w:tc>
      </w:tr>
      <w:tr>
        <w:tc>
          <w:tcPr>
            <w:tcW w:type="dxa" w:w="2160"/>
          </w:tcPr>
          <w:p>
            <w:r>
              <w:t>Total Revenue</w:t>
            </w:r>
          </w:p>
        </w:tc>
        <w:tc>
          <w:tcPr>
            <w:tcW w:type="dxa" w:w="2160"/>
          </w:tcPr>
          <w:p>
            <w:r>
              <w:t>$14.1B</w:t>
            </w:r>
          </w:p>
        </w:tc>
        <w:tc>
          <w:tcPr>
            <w:tcW w:type="dxa" w:w="2160"/>
          </w:tcPr>
          <w:p>
            <w:r>
              <w:t>$18.7B</w:t>
            </w:r>
          </w:p>
        </w:tc>
        <w:tc>
          <w:tcPr>
            <w:tcW w:type="dxa" w:w="2160"/>
          </w:tcPr>
          <w:p>
            <w:r>
              <w:t>+33%</w:t>
            </w:r>
          </w:p>
        </w:tc>
      </w:tr>
      <w:tr>
        <w:tc>
          <w:tcPr>
            <w:tcW w:type="dxa" w:w="2160"/>
          </w:tcPr>
          <w:p>
            <w:r>
              <w:t>Starlink Revenue</w:t>
            </w:r>
          </w:p>
        </w:tc>
        <w:tc>
          <w:tcPr>
            <w:tcW w:type="dxa" w:w="2160"/>
          </w:tcPr>
          <w:p>
            <w:r>
              <w:t>$7.7B</w:t>
            </w:r>
          </w:p>
        </w:tc>
        <w:tc>
          <w:tcPr>
            <w:tcW w:type="dxa" w:w="2160"/>
          </w:tcPr>
          <w:p>
            <w:r>
              <w:t>$11.4B</w:t>
            </w:r>
          </w:p>
        </w:tc>
        <w:tc>
          <w:tcPr>
            <w:tcW w:type="dxa" w:w="2160"/>
          </w:tcPr>
          <w:p>
            <w:r>
              <w:t>+48%</w:t>
            </w:r>
          </w:p>
        </w:tc>
      </w:tr>
      <w:tr>
        <w:tc>
          <w:tcPr>
            <w:tcW w:type="dxa" w:w="2160"/>
          </w:tcPr>
          <w:p>
            <w:r>
              <w:t>Adjusted EBITDA</w:t>
            </w:r>
          </w:p>
        </w:tc>
        <w:tc>
          <w:tcPr>
            <w:tcW w:type="dxa" w:w="2160"/>
          </w:tcPr>
          <w:p>
            <w:r>
              <w:t>$4.9B</w:t>
            </w:r>
          </w:p>
        </w:tc>
        <w:tc>
          <w:tcPr>
            <w:tcW w:type="dxa" w:w="2160"/>
          </w:tcPr>
          <w:p>
            <w:r>
              <w:t>$6.6B</w:t>
            </w:r>
          </w:p>
        </w:tc>
        <w:tc>
          <w:tcPr>
            <w:tcW w:type="dxa" w:w="2160"/>
          </w:tcPr>
          <w:p>
            <w:r>
              <w:t>+35%</w:t>
            </w:r>
          </w:p>
        </w:tc>
      </w:tr>
      <w:tr>
        <w:tc>
          <w:tcPr>
            <w:tcW w:type="dxa" w:w="2160"/>
          </w:tcPr>
          <w:p>
            <w:r>
              <w:t>GAAP Net Income</w:t>
            </w:r>
          </w:p>
        </w:tc>
        <w:tc>
          <w:tcPr>
            <w:tcW w:type="dxa" w:w="2160"/>
          </w:tcPr>
          <w:p>
            <w:r>
              <w:t>—</w:t>
            </w:r>
          </w:p>
        </w:tc>
        <w:tc>
          <w:tcPr>
            <w:tcW w:type="dxa" w:w="2160"/>
          </w:tcPr>
          <w:p>
            <w:r>
              <w:t>-$4.9B</w:t>
            </w:r>
          </w:p>
        </w:tc>
        <w:tc>
          <w:tcPr>
            <w:tcW w:type="dxa" w:w="2160"/>
          </w:tcPr>
          <w:p>
            <w:r>
              <w:t>Loss</w:t>
            </w:r>
          </w:p>
        </w:tc>
      </w:tr>
      <w:tr>
        <w:tc>
          <w:tcPr>
            <w:tcW w:type="dxa" w:w="2160"/>
          </w:tcPr>
          <w:p>
            <w:r>
              <w:t>Starlink Operating Profit</w:t>
            </w:r>
          </w:p>
        </w:tc>
        <w:tc>
          <w:tcPr>
            <w:tcW w:type="dxa" w:w="2160"/>
          </w:tcPr>
          <w:p>
            <w:r>
              <w:t>$2.4B</w:t>
            </w:r>
          </w:p>
        </w:tc>
        <w:tc>
          <w:tcPr>
            <w:tcW w:type="dxa" w:w="2160"/>
          </w:tcPr>
          <w:p>
            <w:r>
              <w:t>$4.4B</w:t>
            </w:r>
          </w:p>
        </w:tc>
        <w:tc>
          <w:tcPr>
            <w:tcW w:type="dxa" w:w="2160"/>
          </w:tcPr>
          <w:p>
            <w:r>
              <w:t>+83%</w:t>
            </w:r>
          </w:p>
        </w:tc>
      </w:tr>
      <w:tr>
        <w:tc>
          <w:tcPr>
            <w:tcW w:type="dxa" w:w="2160"/>
          </w:tcPr>
          <w:p>
            <w:r>
              <w:t>Starlink Subscribers</w:t>
            </w:r>
          </w:p>
        </w:tc>
        <w:tc>
          <w:tcPr>
            <w:tcW w:type="dxa" w:w="2160"/>
          </w:tcPr>
          <w:p>
            <w:r>
              <w:t>4.6M</w:t>
            </w:r>
          </w:p>
        </w:tc>
        <w:tc>
          <w:tcPr>
            <w:tcW w:type="dxa" w:w="2160"/>
          </w:tcPr>
          <w:p>
            <w:r>
              <w:t>9.0M</w:t>
            </w:r>
          </w:p>
        </w:tc>
        <w:tc>
          <w:tcPr>
            <w:tcW w:type="dxa" w:w="2160"/>
          </w:tcPr>
          <w:p>
            <w:r>
              <w:t>+96%</w:t>
            </w:r>
          </w:p>
        </w:tc>
      </w:tr>
      <w:tr>
        <w:tc>
          <w:tcPr>
            <w:tcW w:type="dxa" w:w="2160"/>
          </w:tcPr>
          <w:p>
            <w:r>
              <w:t>Operational Satellites</w:t>
            </w:r>
          </w:p>
        </w:tc>
        <w:tc>
          <w:tcPr>
            <w:tcW w:type="dxa" w:w="2160"/>
          </w:tcPr>
          <w:p>
            <w:r>
              <w:t>~7,000</w:t>
            </w:r>
          </w:p>
        </w:tc>
        <w:tc>
          <w:tcPr>
            <w:tcW w:type="dxa" w:w="2160"/>
          </w:tcPr>
          <w:p>
            <w:r>
              <w:t>~9,000+</w:t>
            </w:r>
          </w:p>
        </w:tc>
        <w:tc>
          <w:tcPr>
            <w:tcW w:type="dxa" w:w="2160"/>
          </w:tcPr>
          <w:p>
            <w:r>
              <w:t>+29%</w:t>
            </w:r>
          </w:p>
        </w:tc>
      </w:tr>
    </w:tbl>
    <w:p/>
    <w:p>
      <w:r>
        <w:t>Starlink is SpaceX's primary revenue and profit driver, accounting for 61% of total revenue in 2025. The launch services division and emerging AI/compute initiatives (including the February 2026 xAI merger) comprise the remainder. Figure 2 shows the revenue breakdown.</w:t>
      </w:r>
    </w:p>
    <w:p>
      <w:pPr>
        <w:jc w:val="center"/>
      </w:pPr>
      <w:r>
        <w:drawing>
          <wp:inline xmlns:a="http://schemas.openxmlformats.org/drawingml/2006/main" xmlns:pic="http://schemas.openxmlformats.org/drawingml/2006/picture">
            <wp:extent cx="5303520" cy="5361881"/>
            <wp:docPr id="2" name="Picture 2"/>
            <wp:cNvGraphicFramePr>
              <a:graphicFrameLocks noChangeAspect="1"/>
            </wp:cNvGraphicFramePr>
            <a:graphic>
              <a:graphicData uri="http://schemas.openxmlformats.org/drawingml/2006/picture">
                <pic:pic>
                  <pic:nvPicPr>
                    <pic:cNvPr id="0" name="revenue_breakdown.png"/>
                    <pic:cNvPicPr/>
                  </pic:nvPicPr>
                  <pic:blipFill>
                    <a:blip r:embed="rId10"/>
                    <a:stretch>
                      <a:fillRect/>
                    </a:stretch>
                  </pic:blipFill>
                  <pic:spPr>
                    <a:xfrm>
                      <a:off x="0" y="0"/>
                      <a:ext cx="5303520" cy="5361881"/>
                    </a:xfrm>
                    <a:prstGeom prst="rect"/>
                  </pic:spPr>
                </pic:pic>
              </a:graphicData>
            </a:graphic>
          </wp:inline>
        </w:drawing>
      </w:r>
    </w:p>
    <w:p>
      <w:pPr>
        <w:jc w:val="center"/>
      </w:pPr>
      <w:r>
        <w:rPr>
          <w:i/>
          <w:color w:val="505050"/>
          <w:sz w:val="18"/>
        </w:rPr>
        <w:t>Figure 2: SpaceX 2025 revenue by business segment ($ billions)</w:t>
      </w:r>
    </w:p>
    <w:p/>
    <w:p>
      <w:pPr>
        <w:pStyle w:val="Heading1"/>
      </w:pPr>
      <w:r>
        <w:t>4. Valuation History</w:t>
      </w:r>
    </w:p>
    <w:p>
      <w:r>
        <w:t>SpaceX's valuation has grown rapidly through secondary share sales and the xAI merger before reaching its historic IPO valuation. Figure 3 tracks key valuation milestones.</w:t>
      </w:r>
    </w:p>
    <w:tbl>
      <w:tblPr>
        <w:tblStyle w:val="TableGrid"/>
        <w:tblW w:type="auto" w:w="0"/>
        <w:tblLook w:firstColumn="1" w:firstRow="1" w:lastColumn="0" w:lastRow="0" w:noHBand="0" w:noVBand="1" w:val="04A0"/>
      </w:tblPr>
      <w:tblGrid>
        <w:gridCol w:w="2880"/>
        <w:gridCol w:w="2880"/>
        <w:gridCol w:w="2880"/>
      </w:tblGrid>
      <w:tr>
        <w:tc>
          <w:tcPr>
            <w:tcW w:type="dxa" w:w="2880"/>
            <w:shd w:fill="1F4E79"/>
          </w:tcPr>
          <w:p>
            <w:r>
              <w:rPr>
                <w:b/>
                <w:color w:val="FFFFFF"/>
              </w:rPr>
              <w:t>Date / Event</w:t>
            </w:r>
          </w:p>
        </w:tc>
        <w:tc>
          <w:tcPr>
            <w:tcW w:type="dxa" w:w="2880"/>
            <w:shd w:fill="1F4E79"/>
          </w:tcPr>
          <w:p>
            <w:r>
              <w:rPr>
                <w:b/>
                <w:color w:val="FFFFFF"/>
              </w:rPr>
              <w:t>Share Price</w:t>
            </w:r>
          </w:p>
        </w:tc>
        <w:tc>
          <w:tcPr>
            <w:tcW w:type="dxa" w:w="2880"/>
            <w:shd w:fill="1F4E79"/>
          </w:tcPr>
          <w:p>
            <w:r>
              <w:rPr>
                <w:b/>
                <w:color w:val="FFFFFF"/>
              </w:rPr>
              <w:t>Valuation</w:t>
            </w:r>
          </w:p>
        </w:tc>
      </w:tr>
      <w:tr>
        <w:tc>
          <w:tcPr>
            <w:tcW w:type="dxa" w:w="2880"/>
          </w:tcPr>
          <w:p>
            <w:r>
              <w:t>July 2025 (Secondary Sale)</w:t>
            </w:r>
          </w:p>
        </w:tc>
        <w:tc>
          <w:tcPr>
            <w:tcW w:type="dxa" w:w="2880"/>
          </w:tcPr>
          <w:p>
            <w:r>
              <w:t>$212</w:t>
            </w:r>
          </w:p>
        </w:tc>
        <w:tc>
          <w:tcPr>
            <w:tcW w:type="dxa" w:w="2880"/>
          </w:tcPr>
          <w:p>
            <w:r>
              <w:t>$400 billion</w:t>
            </w:r>
          </w:p>
        </w:tc>
      </w:tr>
      <w:tr>
        <w:tc>
          <w:tcPr>
            <w:tcW w:type="dxa" w:w="2880"/>
          </w:tcPr>
          <w:p>
            <w:r>
              <w:t>December 2025 (Tender Offer)</w:t>
            </w:r>
          </w:p>
        </w:tc>
        <w:tc>
          <w:tcPr>
            <w:tcW w:type="dxa" w:w="2880"/>
          </w:tcPr>
          <w:p>
            <w:r>
              <w:t>$421</w:t>
            </w:r>
          </w:p>
        </w:tc>
        <w:tc>
          <w:tcPr>
            <w:tcW w:type="dxa" w:w="2880"/>
          </w:tcPr>
          <w:p>
            <w:r>
              <w:t>$800 billion</w:t>
            </w:r>
          </w:p>
        </w:tc>
      </w:tr>
      <w:tr>
        <w:tc>
          <w:tcPr>
            <w:tcW w:type="dxa" w:w="2880"/>
          </w:tcPr>
          <w:p>
            <w:r>
              <w:t>February 2026 (xAI Merger)</w:t>
            </w:r>
          </w:p>
        </w:tc>
        <w:tc>
          <w:tcPr>
            <w:tcW w:type="dxa" w:w="2880"/>
          </w:tcPr>
          <w:p>
            <w:r>
              <w:t>—</w:t>
            </w:r>
          </w:p>
        </w:tc>
        <w:tc>
          <w:tcPr>
            <w:tcW w:type="dxa" w:w="2880"/>
          </w:tcPr>
          <w:p>
            <w:r>
              <w:t>$1.25 trillion</w:t>
            </w:r>
          </w:p>
        </w:tc>
      </w:tr>
      <w:tr>
        <w:tc>
          <w:tcPr>
            <w:tcW w:type="dxa" w:w="2880"/>
          </w:tcPr>
          <w:p>
            <w:r>
              <w:t>June 12, 2026 (IPO Pricing)</w:t>
            </w:r>
          </w:p>
        </w:tc>
        <w:tc>
          <w:tcPr>
            <w:tcW w:type="dxa" w:w="2880"/>
          </w:tcPr>
          <w:p>
            <w:r>
              <w:t>$135</w:t>
            </w:r>
          </w:p>
        </w:tc>
        <w:tc>
          <w:tcPr>
            <w:tcW w:type="dxa" w:w="2880"/>
          </w:tcPr>
          <w:p>
            <w:r>
              <w:t>$1.75 trillion</w:t>
            </w:r>
          </w:p>
        </w:tc>
      </w:tr>
      <w:tr>
        <w:tc>
          <w:tcPr>
            <w:tcW w:type="dxa" w:w="2880"/>
          </w:tcPr>
          <w:p>
            <w:r>
              <w:t>June 15, 2026 (Market)</w:t>
            </w:r>
          </w:p>
        </w:tc>
        <w:tc>
          <w:tcPr>
            <w:tcW w:type="dxa" w:w="2880"/>
          </w:tcPr>
          <w:p>
            <w:r>
              <w:t>$171.91</w:t>
            </w:r>
          </w:p>
        </w:tc>
        <w:tc>
          <w:tcPr>
            <w:tcW w:type="dxa" w:w="2880"/>
          </w:tcPr>
          <w:p>
            <w:r>
              <w:t>~$2.1 trillion</w:t>
            </w:r>
          </w:p>
        </w:tc>
      </w:tr>
    </w:tbl>
    <w:p/>
    <w:p>
      <w:pPr>
        <w:jc w:val="center"/>
      </w:pPr>
      <w:r>
        <w:drawing>
          <wp:inline xmlns:a="http://schemas.openxmlformats.org/drawingml/2006/main" xmlns:pic="http://schemas.openxmlformats.org/drawingml/2006/picture">
            <wp:extent cx="5303520" cy="2964393"/>
            <wp:docPr id="3" name="Picture 3"/>
            <wp:cNvGraphicFramePr>
              <a:graphicFrameLocks noChangeAspect="1"/>
            </wp:cNvGraphicFramePr>
            <a:graphic>
              <a:graphicData uri="http://schemas.openxmlformats.org/drawingml/2006/picture">
                <pic:pic>
                  <pic:nvPicPr>
                    <pic:cNvPr id="0" name="valuation_timeline.png"/>
                    <pic:cNvPicPr/>
                  </pic:nvPicPr>
                  <pic:blipFill>
                    <a:blip r:embed="rId11"/>
                    <a:stretch>
                      <a:fillRect/>
                    </a:stretch>
                  </pic:blipFill>
                  <pic:spPr>
                    <a:xfrm>
                      <a:off x="0" y="0"/>
                      <a:ext cx="5303520" cy="2964393"/>
                    </a:xfrm>
                    <a:prstGeom prst="rect"/>
                  </pic:spPr>
                </pic:pic>
              </a:graphicData>
            </a:graphic>
          </wp:inline>
        </w:drawing>
      </w:r>
    </w:p>
    <w:p>
      <w:pPr>
        <w:jc w:val="center"/>
      </w:pPr>
      <w:r>
        <w:rPr>
          <w:i/>
          <w:color w:val="505050"/>
          <w:sz w:val="18"/>
        </w:rPr>
        <w:t>Figure 3: SpaceX valuation milestones from 2025 to June 2026</w:t>
      </w:r>
    </w:p>
    <w:p/>
    <w:p>
      <w:pPr>
        <w:pStyle w:val="Heading1"/>
      </w:pPr>
      <w:r>
        <w:t>5. Starlink Growth</w:t>
      </w:r>
    </w:p>
    <w:p>
      <w:r>
        <w:t>Starlink reached approximately 10 million subscribers by February 2026, doubling its subscriber base year-over-year. Average revenue per user (ARPU) declined to roughly $81/month as lower-cost consumer plans expanded the addressable market. Figure 4 shows subscriber growth.</w:t>
      </w:r>
    </w:p>
    <w:p>
      <w:pPr>
        <w:jc w:val="center"/>
      </w:pPr>
      <w:r>
        <w:drawing>
          <wp:inline xmlns:a="http://schemas.openxmlformats.org/drawingml/2006/main" xmlns:pic="http://schemas.openxmlformats.org/drawingml/2006/picture">
            <wp:extent cx="5303520" cy="2951875"/>
            <wp:docPr id="4" name="Picture 4"/>
            <wp:cNvGraphicFramePr>
              <a:graphicFrameLocks noChangeAspect="1"/>
            </wp:cNvGraphicFramePr>
            <a:graphic>
              <a:graphicData uri="http://schemas.openxmlformats.org/drawingml/2006/picture">
                <pic:pic>
                  <pic:nvPicPr>
                    <pic:cNvPr id="0" name="subscriber_growth.png"/>
                    <pic:cNvPicPr/>
                  </pic:nvPicPr>
                  <pic:blipFill>
                    <a:blip r:embed="rId12"/>
                    <a:stretch>
                      <a:fillRect/>
                    </a:stretch>
                  </pic:blipFill>
                  <pic:spPr>
                    <a:xfrm>
                      <a:off x="0" y="0"/>
                      <a:ext cx="5303520" cy="2951875"/>
                    </a:xfrm>
                    <a:prstGeom prst="rect"/>
                  </pic:spPr>
                </pic:pic>
              </a:graphicData>
            </a:graphic>
          </wp:inline>
        </w:drawing>
      </w:r>
    </w:p>
    <w:p>
      <w:pPr>
        <w:jc w:val="center"/>
      </w:pPr>
      <w:r>
        <w:rPr>
          <w:i/>
          <w:color w:val="505050"/>
          <w:sz w:val="18"/>
        </w:rPr>
        <w:t>Figure 4: Starlink global subscriber growth (millions)</w:t>
      </w:r>
    </w:p>
    <w:p/>
    <w:p>
      <w:pPr>
        <w:pStyle w:val="Heading1"/>
      </w:pPr>
      <w:r>
        <w:t>6. Key Investment Considerations</w:t>
      </w:r>
    </w:p>
    <w:tbl>
      <w:tblPr>
        <w:tblStyle w:val="TableGrid"/>
        <w:tblW w:type="auto" w:w="0"/>
        <w:tblLook w:firstColumn="1" w:firstRow="1" w:lastColumn="0" w:lastRow="0" w:noHBand="0" w:noVBand="1" w:val="04A0"/>
      </w:tblPr>
      <w:tblGrid>
        <w:gridCol w:w="2880"/>
        <w:gridCol w:w="2880"/>
        <w:gridCol w:w="2880"/>
      </w:tblGrid>
      <w:tr>
        <w:tc>
          <w:tcPr>
            <w:tcW w:type="dxa" w:w="2880"/>
            <w:shd w:fill="1F4E79"/>
          </w:tcPr>
          <w:p>
            <w:r>
              <w:rPr>
                <w:b/>
                <w:color w:val="FFFFFF"/>
              </w:rPr>
              <w:t>Factor</w:t>
            </w:r>
          </w:p>
        </w:tc>
        <w:tc>
          <w:tcPr>
            <w:tcW w:type="dxa" w:w="2880"/>
            <w:shd w:fill="1F4E79"/>
          </w:tcPr>
          <w:p>
            <w:r>
              <w:rPr>
                <w:b/>
                <w:color w:val="FFFFFF"/>
              </w:rPr>
              <w:t>Detail</w:t>
            </w:r>
          </w:p>
        </w:tc>
        <w:tc>
          <w:tcPr>
            <w:tcW w:type="dxa" w:w="2880"/>
            <w:shd w:fill="1F4E79"/>
          </w:tcPr>
          <w:p>
            <w:r>
              <w:rPr>
                <w:b/>
                <w:color w:val="FFFFFF"/>
              </w:rPr>
              <w:t>Implication</w:t>
            </w:r>
          </w:p>
        </w:tc>
      </w:tr>
      <w:tr>
        <w:tc>
          <w:tcPr>
            <w:tcW w:type="dxa" w:w="2880"/>
          </w:tcPr>
          <w:p>
            <w:r>
              <w:t>Profitability</w:t>
            </w:r>
          </w:p>
        </w:tc>
        <w:tc>
          <w:tcPr>
            <w:tcW w:type="dxa" w:w="2880"/>
          </w:tcPr>
          <w:p>
            <w:r>
              <w:t>GAAP net loss of $4.9B in 2025</w:t>
            </w:r>
          </w:p>
        </w:tc>
        <w:tc>
          <w:tcPr>
            <w:tcW w:type="dxa" w:w="2880"/>
          </w:tcPr>
          <w:p>
            <w:r>
              <w:t>Heavy capex &amp; AI spending weigh on earnings</w:t>
            </w:r>
          </w:p>
        </w:tc>
      </w:tr>
      <w:tr>
        <w:tc>
          <w:tcPr>
            <w:tcW w:type="dxa" w:w="2880"/>
          </w:tcPr>
          <w:p>
            <w:r>
              <w:t>Starlink</w:t>
            </w:r>
          </w:p>
        </w:tc>
        <w:tc>
          <w:tcPr>
            <w:tcW w:type="dxa" w:w="2880"/>
          </w:tcPr>
          <w:p>
            <w:r>
              <w:t>$4.4B operating profit</w:t>
            </w:r>
          </w:p>
        </w:tc>
        <w:tc>
          <w:tcPr>
            <w:tcW w:type="dxa" w:w="2880"/>
          </w:tcPr>
          <w:p>
            <w:r>
              <w:t>Core profit engine supports valuation</w:t>
            </w:r>
          </w:p>
        </w:tc>
      </w:tr>
      <w:tr>
        <w:tc>
          <w:tcPr>
            <w:tcW w:type="dxa" w:w="2880"/>
          </w:tcPr>
          <w:p>
            <w:r>
              <w:t>Governance</w:t>
            </w:r>
          </w:p>
        </w:tc>
        <w:tc>
          <w:tcPr>
            <w:tcW w:type="dxa" w:w="2880"/>
          </w:tcPr>
          <w:p>
            <w:r>
              <w:t>Class B shares (10 votes each)</w:t>
            </w:r>
          </w:p>
        </w:tc>
        <w:tc>
          <w:tcPr>
            <w:tcW w:type="dxa" w:w="2880"/>
          </w:tcPr>
          <w:p>
            <w:r>
              <w:t>Musk retains voting control post-IPO</w:t>
            </w:r>
          </w:p>
        </w:tc>
      </w:tr>
      <w:tr>
        <w:tc>
          <w:tcPr>
            <w:tcW w:type="dxa" w:w="2880"/>
          </w:tcPr>
          <w:p>
            <w:r>
              <w:t>Index Inclusion</w:t>
            </w:r>
          </w:p>
        </w:tc>
        <w:tc>
          <w:tcPr>
            <w:tcW w:type="dxa" w:w="2880"/>
          </w:tcPr>
          <w:p>
            <w:r>
              <w:t>Nasdaq-100 eligible after 15 days</w:t>
            </w:r>
          </w:p>
        </w:tc>
        <w:tc>
          <w:tcPr>
            <w:tcW w:type="dxa" w:w="2880"/>
          </w:tcPr>
          <w:p>
            <w:r>
              <w:t>Passive fund buying expected</w:t>
            </w:r>
          </w:p>
        </w:tc>
      </w:tr>
      <w:tr>
        <w:tc>
          <w:tcPr>
            <w:tcW w:type="dxa" w:w="2880"/>
          </w:tcPr>
          <w:p>
            <w:r>
              <w:t>AI Exposure</w:t>
            </w:r>
          </w:p>
        </w:tc>
        <w:tc>
          <w:tcPr>
            <w:tcW w:type="dxa" w:w="2880"/>
          </w:tcPr>
          <w:p>
            <w:r>
              <w:t>xAI merger + Anthropic GPU deal</w:t>
            </w:r>
          </w:p>
        </w:tc>
        <w:tc>
          <w:tcPr>
            <w:tcW w:type="dxa" w:w="2880"/>
          </w:tcPr>
          <w:p>
            <w:r>
              <w:t>Growth catalyst but adds risk</w:t>
            </w:r>
          </w:p>
        </w:tc>
      </w:tr>
      <w:tr>
        <w:tc>
          <w:tcPr>
            <w:tcW w:type="dxa" w:w="2880"/>
          </w:tcPr>
          <w:p>
            <w:r>
              <w:t>Valuation</w:t>
            </w:r>
          </w:p>
        </w:tc>
        <w:tc>
          <w:tcPr>
            <w:tcW w:type="dxa" w:w="2880"/>
          </w:tcPr>
          <w:p>
            <w:r>
              <w:t>~9x revenue at IPO</w:t>
            </w:r>
          </w:p>
        </w:tc>
        <w:tc>
          <w:tcPr>
            <w:tcW w:type="dxa" w:w="2880"/>
          </w:tcPr>
          <w:p>
            <w:r>
              <w:t>Premium vs. traditional aerospace peers</w:t>
            </w:r>
          </w:p>
        </w:tc>
      </w:tr>
    </w:tbl>
    <w:p/>
    <w:p>
      <w:pPr>
        <w:pStyle w:val="Heading1"/>
      </w:pPr>
      <w:r>
        <w:t>7. How to Invest</w:t>
      </w:r>
    </w:p>
    <w:p>
      <w:r>
        <w:t>SPCX is now publicly traded and can be purchased through any standard brokerage account (Fidelity, Schwab, Robinhood, etc.). Investors may also gain indirect exposure through ETFs such as ERShares Private-Public Crossover ETF (XOVR), Tema Space Innovators ETF (NASA), and KraneShares AI &amp; Technology ETF (KOID), which held SpaceX positions prior to the IPO.</w:t>
      </w:r>
    </w:p>
    <w:p>
      <w:pPr>
        <w:pStyle w:val="Heading1"/>
      </w:pPr>
      <w:r>
        <w:t>8. Sources</w:t>
      </w:r>
    </w:p>
    <w:p>
      <w:pPr>
        <w:pStyle w:val="ListBullet"/>
      </w:pPr>
      <w:r>
        <w:t>Nasdaq Private Market — SpaceX company profile and IPO data</w:t>
      </w:r>
    </w:p>
    <w:p>
      <w:pPr>
        <w:pStyle w:val="ListBullet"/>
      </w:pPr>
      <w:r>
        <w:t>The Motley Fool — SpaceX IPO debut analysis (June 12, 2026)</w:t>
      </w:r>
    </w:p>
    <w:p>
      <w:pPr>
        <w:pStyle w:val="ListBullet"/>
      </w:pPr>
      <w:r>
        <w:t>MarketBeat — SPCX stock debut and sector rotation analysis</w:t>
      </w:r>
    </w:p>
    <w:p>
      <w:pPr>
        <w:pStyle w:val="ListBullet"/>
      </w:pPr>
      <w:r>
        <w:t>Sacra — SpaceX revenue, valuation &amp; funding estimates</w:t>
      </w:r>
    </w:p>
    <w:p>
      <w:pPr>
        <w:pStyle w:val="ListBullet"/>
      </w:pPr>
      <w:r>
        <w:t>Morningstar — 6 Charts on SpaceX S-1 Financials</w:t>
      </w:r>
    </w:p>
    <w:p>
      <w:pPr>
        <w:pStyle w:val="ListBullet"/>
      </w:pPr>
      <w:r>
        <w:t>BitMEX Research — SpaceX IPO Guide and S-1 breakdown</w:t>
      </w:r>
    </w:p>
    <w:p>
      <w:pPr>
        <w:pStyle w:val="ListBullet"/>
      </w:pPr>
      <w:r>
        <w:t>SpaceX Form S-1/A filing (SEC, June 2026)</w:t>
      </w:r>
    </w:p>
    <w:p>
      <w:r>
        <w:rPr>
          <w:b/>
        </w:rPr>
        <w:t xml:space="preserve">Disclaimer: </w:t>
      </w:r>
      <w:r>
        <w:t>This report is for informational purposes only and does not constitute investment advice. Stock prices and financial figures are based on publicly available sources as of June 15,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