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CO2 Supplementary Tables Index</w:t>
      </w:r>
    </w:p>
    <w:p>
      <w:r>
        <w:t>Draft status: source-backed index for the supplement. This is not a formatted journal supplement yet.</w:t>
      </w:r>
    </w:p>
    <w:p>
      <w:pPr>
        <w:pStyle w:val="Heading1"/>
      </w:pPr>
      <w:r>
        <w:t>Generated or available tables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Table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Current source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Status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Notes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eTable 1/2. Baseline and intraoperative characteristics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`docs/manuscript_development/generated_assets/supplementary_etable1_2_cohort_characteristics.xlsx` and `supplementary_etable1_2_cohort_characteristics_long.csv`; source files under `results/manuscript_tables/`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locally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Generated from the local Table 1/2 workbook; includes wide, long, and flow-count sheets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eTable 3. Timestamp-level artifact/outlier summaries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`results/supplemental_etables/supplemental_etable3_artifact_co2_rso2.csv` and `Supplemental_eTables3_5_CO2_rSO2.xlsx`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locally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`rSO2_Ch3` is adjudicated as SftO2 in manuscript-facing outputs; workbook title uses forearm tissue oxygenation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eTable 4. Missingness and imputation of intraoperative covariates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`results/supplemental_etables/supplemental_etable4_missingness_imputation_other_intraop.csv` and `Supplemental_eTables3_5_CO2_rSO2.xlsx`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locally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Covers TEMP, FiO2, MAP, SV, HR, and CI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eTable 5. Patient-level EtCO2 and tissue oxygenation summary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`results/supplemental_etables/supplemental_etable5_patient_level_co2_rso2.csv` and `Supplemental_eTables3_5_CO2_rSO2.xlsx`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locally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 patients, observations, mean EtCO2, and tissue oxygenation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eTable 6. Model performance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`results/supplemental_etables/supplemental_etable6_model_performance_co2_rso2.csv` and `Supplemental_eTables6_8_CO2_rSO2.xlsx`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locally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Includes sampled rows, features, EDOF, deviance explained, RMSE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eTable 7. Nonparametric terms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`results/supplemental_etables/supplemental_etable7_nonparametric_terms_co2_rso2.csv` and `Supplemental_eTables6_8_CO2_rSO2.xlsx`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locally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Includes EtCO2 EDF and p values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eTable 8. Parametric terms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`results/supplemental_etables/supplemental_etable8_parametric_terms_co2_rso2.csv` and `Supplemental_eTables6_8_CO2_rSO2.xlsx`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available locally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Includes categorical patient-level covariate terms</w:t>
            </w:r>
          </w:p>
        </w:tc>
      </w:tr>
    </w:tbl>
    <w:p/>
    <w:p>
      <w:pPr>
        <w:pStyle w:val="Heading1"/>
      </w:pPr>
      <w:r>
        <w:t>Main manuscript table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Display item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Source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Recommendation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 Table 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`docs/manuscript_development/generated_assets/table1_cohort_characteristics.xlsx`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concise patient/cohort characteristics in main manuscript; full baseline/intraoperative rows remain in supplementary eTable 1/2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 Table 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`docs/manuscript_development/generated_assets/table2_clinical_step_contrasts.xlsx`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as a compact clinical-step contrast table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Supplementary model diagnostics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`docs/manuscript_development/generated_assets/supplementary_model_diagnostics.xlsx`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 in supplement unless target journal wants model diagnostics in Methods</w:t>
            </w:r>
          </w:p>
        </w:tc>
      </w:tr>
    </w:tbl>
    <w:p/>
    <w:p>
      <w:pPr>
        <w:pStyle w:val="Heading1"/>
      </w:pPr>
      <w:r>
        <w:t>Formatting TODO</w:t>
      </w:r>
    </w:p>
    <w:p>
      <w:pPr>
        <w:pStyle w:val="ListBullet"/>
      </w:pPr>
      <w:r>
        <w:t>Format all abbreviations consistently: EtCO2, FiO2, SctO2, SftO2, MAP, CI, SV, HR.</w:t>
      </w:r>
    </w:p>
    <w:p>
      <w:pPr>
        <w:pStyle w:val="ListBullet"/>
      </w:pPr>
      <w:r>
        <w:t>Replace repository paths with journal-facing supplement captions before submission.</w:t>
      </w:r>
    </w:p>
    <w:p>
      <w:pPr>
        <w:pStyle w:val="ListBullet"/>
      </w:pPr>
      <w:r>
        <w:t xml:space="preserve">No sensitivity-analysis table is included in the current evidence package because the planned result directories are unavailable; see </w:t>
      </w:r>
      <w:r>
        <w:rPr>
          <w:rFonts w:ascii="Consolas" w:hAnsi="Consolas"/>
          <w:sz w:val="20"/>
        </w:rPr>
        <w:t>CO2_SENSITIVITY_DECISION.md</w:t>
      </w:r>
      <w:r>
        <w:t>.</w:t>
      </w:r>
    </w:p>
    <w:p>
      <w:pPr>
        <w:pStyle w:val="ListBullet"/>
      </w:pPr>
      <w:r>
        <w:t xml:space="preserve">Sex is reported as </w:t>
      </w:r>
      <w:r>
        <w:rPr>
          <w:rFonts w:ascii="Consolas" w:hAnsi="Consolas"/>
          <w:sz w:val="20"/>
        </w:rPr>
        <w:t>Male, n (%)</w:t>
      </w:r>
      <w:r>
        <w:t xml:space="preserve"> in manuscript-facing table assets; see </w:t>
      </w:r>
      <w:r>
        <w:rPr>
          <w:rFonts w:ascii="Consolas" w:hAnsi="Consolas"/>
          <w:sz w:val="20"/>
        </w:rPr>
        <w:t>CO2_SEX_LABEL_AUDIT.md</w:t>
      </w:r>
      <w: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CO2-rSO2 manuscript draft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