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before="0"/>
      </w:pPr>
      <w:r>
        <w:rPr>
          <w:rFonts w:ascii="Calibri" w:hAnsi="Calibri" w:eastAsia="Calibri"/>
          <w:b/>
          <w:sz w:val="22"/>
        </w:rPr>
        <w:t>Supplemental Digital Content</w:t>
      </w:r>
    </w:p>
    <w:p>
      <w:pPr>
        <w:spacing w:after="60" w:before="0"/>
      </w:pPr>
      <w:r>
        <w:rPr>
          <w:rFonts w:ascii="Calibri" w:hAnsi="Calibri" w:eastAsia="Calibri"/>
          <w:b w:val="0"/>
          <w:sz w:val="18"/>
        </w:rPr>
        <w:t>The authors provided the following additional information for the manuscript.</w:t>
      </w:r>
    </w:p>
    <w:p>
      <w:pPr>
        <w:spacing w:after="60" w:before="0"/>
      </w:pPr>
      <w:r>
        <w:rPr>
          <w:rFonts w:ascii="Calibri" w:hAnsi="Calibri" w:eastAsia="Calibri"/>
          <w:b w:val="0"/>
          <w:sz w:val="18"/>
        </w:rPr>
        <w:t>End-tidal carbon dioxide is associated with cerebral tissue oxygenation during off-pump coronary bypass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1. Cohort flow and signal availability in the left cerebral, right cerebral, and forearm tissue oxygenation analytic cohorts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Filtering stage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Left SctO2 rows,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Left SctO2 patients,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Right SctO2 rows,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Right SctO2 patients,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SftO2 rows,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3"/>
              </w:rPr>
              <w:t>SftO2 patients, n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Raw time-series observations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25,385,328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1,872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25,385,328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1,872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25,385,328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1,872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After requiring nonmissing EtCO2 and site-specific tissue oxygenation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20,657,553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20,718,216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20,712,816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1,789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After cohort clipping to required nonmissing variables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20,115,169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20,169,291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20,167,307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1,789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Final usable observations after strict EtCO2 and tissue oxygenation ranges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20,021,703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20,075,597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20,068,759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1,789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After intraoperative covariate range clipping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20,021,703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20,075,597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20,068,759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1,789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After intraoperative covariate imputation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20,021,703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20,075,597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20,068,759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3"/>
              </w:rPr>
              <w:t>1,789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SctO2, cerebral tissue oxygen saturation; SftO2, forearm tissue oxygen saturation; EtCO2, end-tidal carbon dioxide.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Rows represent synchronized timestamp-level observations unless otherwise indicated.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2. Baseline and intraoperative characteristics in the left cerebral, right cerebral, and forearm tissue oxygenation analytic cohorts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Characteristic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Left SctO2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Right SctO2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SftO2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Missing Left SctO2,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Missing Right SctO2, n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Missing SftO2, n</w:t>
            </w:r>
          </w:p>
        </w:tc>
      </w:tr>
      <w:tr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Baseline and patient-level characteristics</w:t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Age,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68.7 (5.3)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68.7 (5.3)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68.7 (5.3)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Age,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68.0 (65.0-72.0)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68.0 (65.0-72.0)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68.0 (65.0-72.0)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BMI,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25.3 (3.2)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25.3 (3.2)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25.3 (3.2)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BMI,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25.0 (23.1-27.1)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25.0 (23.1-27.1)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25.0 (23.1-27.1)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Cardiac index,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(0.8)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(0.8)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(0.8)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Cardiac index,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2.4 (2.0-2.9)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2.4 (2.0-2.9)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2.4 (2.0-2.9)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 = 0,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1347 (75.2%)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1347 (75.2%)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1344 (75.1%)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 = 1,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108 (6.0%)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108 (6.0%)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108 (6.0%)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 = 2,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176 (9.8%)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176 (9.8%)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176 (9.8%)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 = 3,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161 (9.0%)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161 (9.0%)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161 (9.0%)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Diabetes,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770 (43.0%)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770 (43.0%)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768 (42.9%)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Drinking history,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458 (25.6%)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458 (25.6%)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458 (25.6%)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Hemoglobin,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132.1 (15.5)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132.1 (15.5)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132.1 (15.5)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Hemoglobin,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133.0 (122.0-142.0)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133.0 (122.0-142.0)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133.0 (122.0-142.0)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Hypertension,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1316 (73.4%)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1316 (73.4%)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1313 (73.4%)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Preoperative hypertension &gt;140/90 mmHg,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407 (22.7%)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407 (22.7%)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406 (22.7%)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72.4 (4.0)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72.4 (4.0)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72.4 (4.0)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72.7 (70.0-75.0)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72.7 (70.0-75.0)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72.7 (70.0-75.0)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Mean blood pressure,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90.0 (12.4)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90.0 (12.4)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89.9 (12.4)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Mean blood pressure,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89.0 (81.3-98.0)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89.0 (81.3-98.0)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89.0 (81.3-98.0)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Patients, 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1789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70.8 (4.4)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70.8 (4.4)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70.8 (4.4)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71.0 (68.0-74.0)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71.0 (68.0-74.0)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71.0 (68.0-74.0)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Male,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1255 (70.0%)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1255 (70.0%)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1254 (70.1%)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 = 0,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758 (42.3%)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758 (42.3%)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757 (42.3%)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 = 1,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675 (37.7%)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675 (37.7%)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674 (37.7%)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 = 2,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359 (20.0%)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359 (20.0%)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358 (20.0%)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74.2 (4.7)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74.2 (4.7)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74.2 (4.7)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74.7 (71.3-77.3)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74.7 (71.3-77.3)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74.7 (71.3-77.3)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Statin use, n (%)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1750 (97.7%)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1750 (97.7%)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1747 (97.7%)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Intraoperative timestamp-level characteristics</w:t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  <w:tc>
          <w:tcPr>
            <w:tcW w:type="dxa" w:w="1522"/>
            <w:vAlign w:val="center"/>
            <w:shd w:fill="F6F6F6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CI,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2.6 (0.9)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2.6 (0.8)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2.6 (0.9)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CI,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(2.0-3.0)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(2.0-3.0)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2.5 (2.0-3.0)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EtCO2,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30.1 (4.1)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30.1 (4.1)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30.1 (4.1)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EtCO2,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30.0 (28.0-32.0)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30.0 (28.0-32.0)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30.0 (28.0-32.0)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FiO2,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65.4 (14.1)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65.4 (14.1)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65.4 (14.1)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FiO2,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62.0 (57.0-70.0)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62.0 (57.0-70.0)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62.0 (57.0-70.0)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HR,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62.7 (11.9)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62.7 (11.9)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62.7 (11.9)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HR,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61.2 (54.5-69.8)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61.2 (54.5-69.8)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61.2 (54.5-69.8)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MAP,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75.9 (15.0)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75.9 (15.0)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75.9 (15.0)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MAP,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75.0 (66.0-85.0)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75.0 (66.0-85.0)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75.0 (66.0-85.0)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Timestamp observations, 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20021703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20075597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20068759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Pmean,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(1.6)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(1.6)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(1.6)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Pmean,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(5.0-7.0)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(5.0-7.0)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6.0 (5.0-7.0)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RRtotal,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12.9 (2.0)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12.9 (2.0)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12.9 (2.0)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RRtotal,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13.0 (12.0-14.0)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13.0 (12.0-14.0)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13.0 (12.0-14.0)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SV,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74.4 (22.7)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74.4 (22.7)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74.5 (22.8)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SV,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72.0 (58.3-87.7)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72.0 (58.3-87.6)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72.0 (58.2-87.7)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Temperature,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(0.6)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(0.6)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(0.6)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Temperature,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(35.1-35.9)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(35.1-35.9)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35.5 (35.1-35.9)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TVinsp,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412.4 (65.2)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412.4 (65.1)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412.3 (65.2)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TVinsp,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409.0 (379.0-450.0)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409.0 (379.0-450.0)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409.0 (379.0-450.0)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71.1 (6.0)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71.0 (67.0-75.0)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71.5 (5.7)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72.0 (68.0-75.0)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SftO2, mean (SD)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75.5 (5.9)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SftO2, median (IQR)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76.0 (72.0-79.0)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SctO2, cerebral tissue oxygen saturation; SftO2, forearm tissue oxygen saturation; EtCO2, end-tidal carbon dioxide; FiO2, fraction of inspired oxygen.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Continuous variables are presented as mean (SD) or median (IQR), and categorical variables as n (%). Missing values are shown as n.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3. Summary of timestamp-level outlier exclusions in left cerebral, right cerebral, and forearm tissue oxygen saturation cohorts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Outlier criterion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Left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Right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SftO2 cohort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 data points, n*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20,657,553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20,718,216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20,712,816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 patients, n*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1,792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1,793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1,789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≤20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removed,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566,069 (2.74%)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566,721 (2.74%)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567,463 (2.74%)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Patients with removed points,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1,751 (97.71%)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1,751 (97.66%)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1,748 (97.71%)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EtCO2 (IQR),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13.0 (6.0 – 18.0)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13.0 (6.0 – 18.0)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13.0 (6.0 – 18.0)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range,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20.0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20.0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20.0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corresponding tissue oxygen (IQR),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73.0 (68.0 – 77.0)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73.0 (69.0 – 77.0)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75.0 (71.0 – 79.0)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Corresponding tissue oxygen range,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14.0 – 100.0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≥50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≥50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≥50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≥50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removed,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43,291 (0.21%)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43,337 (0.21%)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43,815 (0.21%)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Patients with removed points,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484 (27.01%)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488 (27.22%)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489 (27.33%)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EtCO2 (IQR),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53.0 (51.0 – 56.0)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53.0 (51.0 – 56.0)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53.0 (51.0 – 56.0)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range,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50.0 – 124.0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50.0 – 124.0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50.0 – 124.0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corresponding tissue oxygen (IQR),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80.0 (76.0 – 84.0)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81.0 (77.0 – 85.0)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78.0 (75.0 – 82.0)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Corresponding tissue oxygen range,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39.0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43.0 – 100.0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≤20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≤20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removed,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3,889 (0.02%)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1,496 (0.01%)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281 (0.00%)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Patients with removed points,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84 (4.69%)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71 (3.96%)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 (0.67%)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EtCO2 (IQR),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29.0 (27.0 – 32.0)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31.0 (27.0 – 34.0)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33.0 (28.0 – 38.0)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range,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48.0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62.0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11.0 – 42.0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corresponding tissue oxygen (IQR),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5.0 (2.0 – 13.0)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6.0 (2.0 – 13.0)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13.0 (3.0 – 16.0)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Corresponding tissue oxygen range,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0.0 – 20.0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0.0 – 20.0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0.0 – 20.0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≥95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≥95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≥95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Tissue oxygen ≥95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removed,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24,198 (0.12%)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32,489 (0.16%)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33,454 (0.16%)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Patients with removed points, n (%)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164 (9.15%)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154 (8.59%)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88 (4.92%)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EtCO2 (IQR),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31.0 (29.0 – 34.0)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27.0 (26.0 – 34.0)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33.0 (30.0 – 35.0)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EtCO2 range,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67.0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60.0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1.0 – 55.0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corresponding tissue oxygen (IQR),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100.0 (97.0 – 100.0)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100.0 (100.0 – 100.0)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99.0 (96.0 – 100.0)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Corresponding tissue oxygen range,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95.0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95.0 – 100.0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95.0 – 100.0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SctO2, cerebral tissue oxygen saturation; EtCO2, end-tidal carbon dioxide.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* Available data points represent synchronized observations with non-missing EtCO2 and site-specific tissue oxygen saturation.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Thresholds used for artifact reporting: EtCO2 ≤20 or ≥50 mmHg; tissue oxygen saturation ≤20% or ≥95%.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4. Missingness and imputation of intraoperative time-varying covariates in left cerebral, right cerebral, and forearm tissue oxygenation cohorts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Covariate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Left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Right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SftO2 cohort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 data points, n*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20,022,179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20,075,759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20,068,989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Temperature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Temperature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Temperature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Temperature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temperature (SD), °C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(0.7)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(0.7)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(0.7)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temperature (IQR), °C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(35.1 – 36.0)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(35.1 – 36.0)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35.5 (35.1 – 36.0)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temperature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3,286,189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3,289,148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3,324,846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16.4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16.4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16.6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3.3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13.2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 (10 – 32)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 (10 – 32)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 (10 – 32)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19 (10 – 32)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 (10 – 32)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 (10 – 32)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FiO2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FiO2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FiO2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FiO2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FiO2 (SD),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64.6 (14.5)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64.6 (14.6)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64.7 (14.6)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FiO2 (IQR),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61.0 (57.0 – 70.0)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61.0 (56.0 – 70.0)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61.0 (57.0 – 70.0)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FiO2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2,323,756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2,318,312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2,314,882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0.3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1)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1)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1)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49 (1 – 135)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47 (1 – 135)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49 (1 – 136)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MAP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MAP (SD),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76.1 (14.8)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76.1 (14.8)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76.1 (14.8)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MAP (IQR), mmHg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75.0 (66.0 – 85.0)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75.0 (66.0 – 85.0)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75.0 (66.0 – 85.0)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MAP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2,528,175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2,545,824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2,545,439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29)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29)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SV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SV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SV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SV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SV (SD), mL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74.6 (22.4)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74.6 (22.4)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74.6 (22.4)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SV (IQR), mL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72.1 (58.5 – 87.7)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72.1 (58.5 – 87.6)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72.1 (58.5 – 87.7)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SV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2,557,625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2,574,143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2,565,666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12.8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HR (SD), beats/min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63.4 (11.4)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63.4 (11.5)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63.4 (11.4)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HR (IQR), beats/min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62.5 (55.6 – 69.8)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62.5 (55.6 – 69.8)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61.9 (55.6 – 69.8)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HR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2,568,862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2,586,736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2,586,879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CI (SD), L/min/m²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2.6 (0.8)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2.6 (0.8)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2.6 (0.8)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CI (IQR), L/min/m²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2.5 (2.0 – 3.1)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2.5 (2.0 – 3.1)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2.5 (2.0 – 3.1)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Data points with CI missing,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2,534,878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2,552,359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2,551,842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Missing rate,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12.7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Forward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12.5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imputation, %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duration of missingness by episode (IQR), min†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 (0 – 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across all patients (IQR), min‡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total missing duration among patients with any missingness (IQR), min§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 (11 – 30)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SctO2, cerebral tissue oxygen saturation; EtCO2, end-tidal carbon dioxide; FiO2, fraction of inspired oxygen.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* Available data points represent analytic observations after excluding timestamps with EtCO2 or site-specific tissue oxygen artifact values.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Percentages are calculated using available data points in each cohort as the denominator.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Median imputation combines subject-level median and global median imputation.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† Values represent missing-episode-level duration summary based on monitor-axis timestamps in the cohort patients.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‡ Values represent the median of patient-level total missing duration, including patients with 0 minutes missing.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§ Values represent the median of patient-level total missing duration among patients with any missing data (&gt;0 minutes).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5. Patient-level summary of intraoperative EtCO2 and tissue oxygenation in left cerebral, right cerebral, and forearm tissue oxygenation cohorts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Variable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Left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Right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SftO2 cohort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Patients with recordings,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1,792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1,792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1,789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Total included data points, n*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20,022,179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20,075,759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20,068,989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Median data points per patient (IQR), 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11136 (9302 – 13009)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11172 (9336 – 13080)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11187 (9373 – 13097)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of each patient's mean EtCO2 (SD), mmHg†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30.0 (2.6)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30.0 (2.6)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30.1 (2.6)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of SD of each patient's EtCO2 (SD), mmHg‡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3.0 (1.0)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3.0 (1.0)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3.0 (1.0)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of each patient's mean tissue oxygenation (SD), %†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71.1 (4.9)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71.5 (4.6)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75.6 (5.0)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Mean of SD of each patient's tissue oxygenation (SD), %‡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3.4 (1.5)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3.3 (1.4)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2.8 (1.4)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SctO2, cerebral tissue oxygen saturation.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* Included data points met strict thresholds: 20&lt;EtCO2&lt;50 mmHg and 20&lt;tissue oxygen saturation&lt;95%.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† Mean of patient-level means over the intraoperative period.</w:t>
      </w:r>
    </w:p>
    <w:p>
      <w:pPr>
        <w:spacing w:after="60" w:before="0"/>
      </w:pPr>
      <w:r>
        <w:rPr>
          <w:rFonts w:ascii="Calibri" w:hAnsi="Calibri" w:eastAsia="Calibri"/>
          <w:b w:val="0"/>
          <w:sz w:val="16"/>
        </w:rPr>
        <w:t>‡ Mean of patient-level SDs over the intraoperative period.</w:t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6. Model performance and goodness-of-fit statistics for additive GAMs (no interaction terms)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Metric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Left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Right SctO2 cohort</w:t>
            </w:r>
          </w:p>
        </w:tc>
        <w:tc>
          <w:tcPr>
            <w:tcW w:type="dxa" w:w="2664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4"/>
              </w:rPr>
              <w:t>SftO2 cohort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 Samples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 Features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17.000000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17.000000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18.000000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Effective DOF (model)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51.140621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51.210382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52.215099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Deviance Explained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0.232471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0.219079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0.153822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McFadden R2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0.998735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0.998701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0.999286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AIC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853,805.72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837,375.84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863,751.58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AICc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853,805.77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837,375.89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863,751.64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GCV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28.011993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25.762625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29.466439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Log Likelihood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-426,850.72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-418,635.71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-431,822.58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Scale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27.986209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25.738878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29.438745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 Training Rows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100,000.00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RMSE (training sample)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5.288846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5.072051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5.424332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R2 Traditional (training sample)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0.232471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0.219079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0.153822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 Eval Rows (full analytic pool)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20,022,179.00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20,075,759.00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20,068,989.00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RMSE (full analytic pool)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5.300094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5.071070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5.419095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R2 Traditional (full analytic pool)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0.231229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0.221931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0.152902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7. Continuous term estimates for additive GAMs (no interaction terms)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Model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Variable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Term Type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N basis Functions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Effect Degrees of Freedom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F Statistic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P Value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30.37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BMI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292.30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6.30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2885.02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Cardiac index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183.46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EtCO2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8.42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2709.61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FiO2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7.52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1566.81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Hemoglobin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415.88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MAP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6.65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1884.76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Mean blood pressure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315.66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Temperature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1554.39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79.30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BMI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283.06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6.38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3257.80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Cardiac index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37.87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EtCO2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8.43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3055.45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FiO2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7.51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1952.03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Hemoglobin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275.82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MAP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6.65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2548.40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Mean blood pressure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124.43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Temperature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2093.06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1.19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0.2752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BMI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1250.49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CI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6.34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1962.66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Cardiac index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269.38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EtCO2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8.45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1211.52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FiO2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7.52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1058.89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Hemoglobin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758.75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MAP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6.64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1350.40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Mean blood pressure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32.85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Linear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3878.42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Temperature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Smooth Spline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7.28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1162.65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p>
      <w:pPr>
        <w:pStyle w:val="1"/>
        <w:spacing w:before="160" w:after="80"/>
      </w:pPr>
      <w:r>
        <w:rPr>
          <w:rFonts w:ascii="Calibri" w:hAnsi="Calibri" w:eastAsia="Calibri"/>
          <w:b/>
          <w:sz w:val="26"/>
        </w:rPr>
        <w:t>eTable 8. Categorical term estimates for additive GAMs (no interaction terms)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Model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Variable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Term Type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Effect Degrees of Freedom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Estimate(β)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Std Error</w:t>
            </w:r>
          </w:p>
        </w:tc>
        <w:tc>
          <w:tcPr>
            <w:tcW w:type="dxa" w:w="1522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sz w:val="12"/>
              </w:rPr>
              <w:t>P Value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-0.1402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0.0724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0.0211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Diabetes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0.3281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0.0350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Drinking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-0.0354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0.0424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0.6982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Hypertension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0.0489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0.0392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0.4535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0.5505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0.0473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0.4327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0.0434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Left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Statin use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-1.0107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0.1140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0.0945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0.0676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Diabetes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0.0897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0.0336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0.0274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Drinking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-0.0161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0.0408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0.9225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Hypertension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0.2237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0.0376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-0.0834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0.0453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0.1914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0.4052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0.0416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Right SctO2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Statin use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-0.3575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0.1082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0.0023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Carotid artery disease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3.00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0.7410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0.0721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Diabetes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-0.4778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0.0359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Drinking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-0.5719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0.0437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Hypertension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-0.1997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0.0403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SEX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0.7657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0.0488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Smoking history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2.00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-0.0284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0.0447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0.9339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SftO2 model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Statin use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Factor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1.00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0.9093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0.1165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12"/>
              </w:rPr>
              <w:t>&lt;0.001</w:t>
            </w:r>
          </w:p>
        </w:tc>
      </w:tr>
    </w:tbl>
    <w:p>
      <w:pPr>
        <w:spacing w:after="60" w:before="0"/>
      </w:pPr>
      <w:r>
        <w:rPr>
          <w:rFonts w:ascii="Calibri" w:hAnsi="Calibri" w:eastAsia="Calibri"/>
          <w:b w:val="0"/>
          <w:sz w:val="2"/>
        </w:rPr>
      </w:r>
    </w:p>
    <w:sectPr w:rsidR="00F515F8" w:rsidRPr="006E0E2F" w:rsidSect="0048565C">
      <w:footerReference w:type="default" r:id="rId14"/>
      <w:pgSz w:w="12240" w:h="15840"/>
      <w:pgMar w:top="936" w:right="792" w:bottom="936" w:left="79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DDC5" w14:textId="77777777" w:rsidR="00A6177F" w:rsidRDefault="00A6177F" w:rsidP="007257CD">
      <w:r>
        <w:separator/>
      </w:r>
    </w:p>
  </w:endnote>
  <w:endnote w:type="continuationSeparator" w:id="0">
    <w:p w14:paraId="6B2E1969" w14:textId="77777777" w:rsidR="00A6177F" w:rsidRDefault="00A6177F" w:rsidP="0072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6376267"/>
      <w:docPartObj>
        <w:docPartGallery w:val="Page Numbers (Bottom of Page)"/>
        <w:docPartUnique/>
      </w:docPartObj>
    </w:sdtPr>
    <w:sdtContent>
      <w:p w14:paraId="3B6FBF06" w14:textId="3E2BD6C6" w:rsidR="00E95C30" w:rsidRDefault="00E95C3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A0F8AFC" w14:textId="77777777" w:rsidR="00E95C30" w:rsidRDefault="00E95C3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A6B1" w14:textId="77777777" w:rsidR="00A6177F" w:rsidRDefault="00A6177F" w:rsidP="007257CD">
      <w:r>
        <w:separator/>
      </w:r>
    </w:p>
  </w:footnote>
  <w:footnote w:type="continuationSeparator" w:id="0">
    <w:p w14:paraId="776C8153" w14:textId="77777777" w:rsidR="00A6177F" w:rsidRDefault="00A6177F" w:rsidP="00725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B9C"/>
    <w:multiLevelType w:val="hybridMultilevel"/>
    <w:tmpl w:val="CE1A620C"/>
    <w:lvl w:ilvl="0" w:tplc="89B8EB76">
      <w:start w:val="92"/>
      <w:numFmt w:val="bullet"/>
      <w:lvlText w:val=""/>
      <w:lvlJc w:val="left"/>
      <w:pPr>
        <w:ind w:left="360" w:hanging="360"/>
      </w:pPr>
      <w:rPr>
        <w:rFonts w:ascii="Wingdings" w:eastAsia="宋体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745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58"/>
    <w:rsid w:val="0000528C"/>
    <w:rsid w:val="000073E2"/>
    <w:rsid w:val="0001295B"/>
    <w:rsid w:val="00014960"/>
    <w:rsid w:val="00036B14"/>
    <w:rsid w:val="0004075F"/>
    <w:rsid w:val="000623D8"/>
    <w:rsid w:val="0006247E"/>
    <w:rsid w:val="00070EAF"/>
    <w:rsid w:val="00073E82"/>
    <w:rsid w:val="00075F91"/>
    <w:rsid w:val="000956DE"/>
    <w:rsid w:val="000A4E26"/>
    <w:rsid w:val="000A74F8"/>
    <w:rsid w:val="000C19A7"/>
    <w:rsid w:val="000D5C86"/>
    <w:rsid w:val="000D60AF"/>
    <w:rsid w:val="000D73B9"/>
    <w:rsid w:val="000D7F1A"/>
    <w:rsid w:val="000D7FD6"/>
    <w:rsid w:val="000E10F9"/>
    <w:rsid w:val="000E27E4"/>
    <w:rsid w:val="000E6A3C"/>
    <w:rsid w:val="00102E1A"/>
    <w:rsid w:val="00105F7A"/>
    <w:rsid w:val="00131D27"/>
    <w:rsid w:val="00141A1E"/>
    <w:rsid w:val="00143C91"/>
    <w:rsid w:val="001505ED"/>
    <w:rsid w:val="00160E09"/>
    <w:rsid w:val="001660BA"/>
    <w:rsid w:val="001775C1"/>
    <w:rsid w:val="00185D03"/>
    <w:rsid w:val="00193633"/>
    <w:rsid w:val="00197A73"/>
    <w:rsid w:val="001B29C8"/>
    <w:rsid w:val="001B3408"/>
    <w:rsid w:val="001C45F2"/>
    <w:rsid w:val="001D45C2"/>
    <w:rsid w:val="001E3808"/>
    <w:rsid w:val="001E4436"/>
    <w:rsid w:val="001F004C"/>
    <w:rsid w:val="001F4CCC"/>
    <w:rsid w:val="001F7D5F"/>
    <w:rsid w:val="002023D3"/>
    <w:rsid w:val="00206677"/>
    <w:rsid w:val="00211B29"/>
    <w:rsid w:val="00211E06"/>
    <w:rsid w:val="00217B53"/>
    <w:rsid w:val="00221105"/>
    <w:rsid w:val="002306AB"/>
    <w:rsid w:val="002349C0"/>
    <w:rsid w:val="00241B15"/>
    <w:rsid w:val="0024701F"/>
    <w:rsid w:val="002542C6"/>
    <w:rsid w:val="00254561"/>
    <w:rsid w:val="00261C46"/>
    <w:rsid w:val="002647AB"/>
    <w:rsid w:val="00271E91"/>
    <w:rsid w:val="00272619"/>
    <w:rsid w:val="002754CB"/>
    <w:rsid w:val="00281B34"/>
    <w:rsid w:val="002974DE"/>
    <w:rsid w:val="002A1CBB"/>
    <w:rsid w:val="002A314C"/>
    <w:rsid w:val="002A4C21"/>
    <w:rsid w:val="002B16E9"/>
    <w:rsid w:val="002B36A4"/>
    <w:rsid w:val="002B77BC"/>
    <w:rsid w:val="002C7F19"/>
    <w:rsid w:val="002E5C2F"/>
    <w:rsid w:val="003061A9"/>
    <w:rsid w:val="00310158"/>
    <w:rsid w:val="00312B98"/>
    <w:rsid w:val="0031787D"/>
    <w:rsid w:val="003242E0"/>
    <w:rsid w:val="003326A1"/>
    <w:rsid w:val="00336E60"/>
    <w:rsid w:val="003468A9"/>
    <w:rsid w:val="003531FD"/>
    <w:rsid w:val="00357996"/>
    <w:rsid w:val="0036110E"/>
    <w:rsid w:val="00366933"/>
    <w:rsid w:val="003720D4"/>
    <w:rsid w:val="00386B28"/>
    <w:rsid w:val="003A25D2"/>
    <w:rsid w:val="003A51E6"/>
    <w:rsid w:val="003B2029"/>
    <w:rsid w:val="003B6A7F"/>
    <w:rsid w:val="003B77D0"/>
    <w:rsid w:val="003C3BFC"/>
    <w:rsid w:val="003C3CCE"/>
    <w:rsid w:val="003D2957"/>
    <w:rsid w:val="003D51BD"/>
    <w:rsid w:val="003F6EE1"/>
    <w:rsid w:val="00403389"/>
    <w:rsid w:val="004113A3"/>
    <w:rsid w:val="00415D90"/>
    <w:rsid w:val="0041707E"/>
    <w:rsid w:val="004253F1"/>
    <w:rsid w:val="00426E78"/>
    <w:rsid w:val="004359E7"/>
    <w:rsid w:val="00451BA5"/>
    <w:rsid w:val="0045572F"/>
    <w:rsid w:val="00456CAB"/>
    <w:rsid w:val="00476754"/>
    <w:rsid w:val="00480C73"/>
    <w:rsid w:val="0048565C"/>
    <w:rsid w:val="00485D8C"/>
    <w:rsid w:val="0049346A"/>
    <w:rsid w:val="004957F6"/>
    <w:rsid w:val="004972DD"/>
    <w:rsid w:val="004A01D5"/>
    <w:rsid w:val="004A024C"/>
    <w:rsid w:val="004A23B7"/>
    <w:rsid w:val="004A4A09"/>
    <w:rsid w:val="004C18EF"/>
    <w:rsid w:val="004C1953"/>
    <w:rsid w:val="004C27D8"/>
    <w:rsid w:val="004D0370"/>
    <w:rsid w:val="004D3634"/>
    <w:rsid w:val="004E149C"/>
    <w:rsid w:val="004F73A0"/>
    <w:rsid w:val="00501783"/>
    <w:rsid w:val="00503E5E"/>
    <w:rsid w:val="005121A8"/>
    <w:rsid w:val="0052244B"/>
    <w:rsid w:val="0053724C"/>
    <w:rsid w:val="00543674"/>
    <w:rsid w:val="00543B9D"/>
    <w:rsid w:val="00564EFE"/>
    <w:rsid w:val="00580F92"/>
    <w:rsid w:val="00581C71"/>
    <w:rsid w:val="00581EEF"/>
    <w:rsid w:val="0058740E"/>
    <w:rsid w:val="00587C33"/>
    <w:rsid w:val="0059254E"/>
    <w:rsid w:val="00597EDD"/>
    <w:rsid w:val="005A1351"/>
    <w:rsid w:val="005B3482"/>
    <w:rsid w:val="005C2515"/>
    <w:rsid w:val="005C2659"/>
    <w:rsid w:val="005D08FC"/>
    <w:rsid w:val="005D256A"/>
    <w:rsid w:val="005E14F0"/>
    <w:rsid w:val="005F20D8"/>
    <w:rsid w:val="005F2125"/>
    <w:rsid w:val="005F5263"/>
    <w:rsid w:val="005F5349"/>
    <w:rsid w:val="006102B1"/>
    <w:rsid w:val="00610ADA"/>
    <w:rsid w:val="006204FF"/>
    <w:rsid w:val="0062398F"/>
    <w:rsid w:val="00635FF6"/>
    <w:rsid w:val="00643F9B"/>
    <w:rsid w:val="00661F0A"/>
    <w:rsid w:val="006636A0"/>
    <w:rsid w:val="00675897"/>
    <w:rsid w:val="00675EA0"/>
    <w:rsid w:val="0068013A"/>
    <w:rsid w:val="00685214"/>
    <w:rsid w:val="00695FF9"/>
    <w:rsid w:val="006B1E3B"/>
    <w:rsid w:val="006B318A"/>
    <w:rsid w:val="006B31BC"/>
    <w:rsid w:val="006B411D"/>
    <w:rsid w:val="006B4D33"/>
    <w:rsid w:val="006C29DF"/>
    <w:rsid w:val="006C2AB6"/>
    <w:rsid w:val="006D1933"/>
    <w:rsid w:val="006D3534"/>
    <w:rsid w:val="006D5E9C"/>
    <w:rsid w:val="006D613B"/>
    <w:rsid w:val="006E03C9"/>
    <w:rsid w:val="006E0E2F"/>
    <w:rsid w:val="00704ABC"/>
    <w:rsid w:val="00705CED"/>
    <w:rsid w:val="00715699"/>
    <w:rsid w:val="007257CD"/>
    <w:rsid w:val="00730A2F"/>
    <w:rsid w:val="00743A24"/>
    <w:rsid w:val="00762EEA"/>
    <w:rsid w:val="00765A71"/>
    <w:rsid w:val="007700AD"/>
    <w:rsid w:val="00773E6D"/>
    <w:rsid w:val="0079005C"/>
    <w:rsid w:val="007957F7"/>
    <w:rsid w:val="0079700D"/>
    <w:rsid w:val="007A1860"/>
    <w:rsid w:val="007C5E12"/>
    <w:rsid w:val="007D06E3"/>
    <w:rsid w:val="007D1350"/>
    <w:rsid w:val="007E125D"/>
    <w:rsid w:val="007E261E"/>
    <w:rsid w:val="007F0EC8"/>
    <w:rsid w:val="008032C3"/>
    <w:rsid w:val="00806E72"/>
    <w:rsid w:val="00817855"/>
    <w:rsid w:val="008253DD"/>
    <w:rsid w:val="0083119B"/>
    <w:rsid w:val="00833A31"/>
    <w:rsid w:val="0084086A"/>
    <w:rsid w:val="00840B25"/>
    <w:rsid w:val="00842A17"/>
    <w:rsid w:val="00844BAA"/>
    <w:rsid w:val="008454C6"/>
    <w:rsid w:val="00845DF0"/>
    <w:rsid w:val="0085088A"/>
    <w:rsid w:val="00850CBB"/>
    <w:rsid w:val="00872E2E"/>
    <w:rsid w:val="00884E4C"/>
    <w:rsid w:val="00897B4F"/>
    <w:rsid w:val="008A18AD"/>
    <w:rsid w:val="008B7BFB"/>
    <w:rsid w:val="008C289C"/>
    <w:rsid w:val="008C4991"/>
    <w:rsid w:val="008D0DB7"/>
    <w:rsid w:val="008D6C1D"/>
    <w:rsid w:val="008F2CE3"/>
    <w:rsid w:val="008F5234"/>
    <w:rsid w:val="008F680D"/>
    <w:rsid w:val="009035EA"/>
    <w:rsid w:val="00914823"/>
    <w:rsid w:val="00914CBE"/>
    <w:rsid w:val="00920FB6"/>
    <w:rsid w:val="009561BA"/>
    <w:rsid w:val="009572CD"/>
    <w:rsid w:val="009656C7"/>
    <w:rsid w:val="0097252E"/>
    <w:rsid w:val="00995233"/>
    <w:rsid w:val="009A71D2"/>
    <w:rsid w:val="009B5B3B"/>
    <w:rsid w:val="009E112D"/>
    <w:rsid w:val="009E1333"/>
    <w:rsid w:val="009F1C56"/>
    <w:rsid w:val="009F56D5"/>
    <w:rsid w:val="009F64ED"/>
    <w:rsid w:val="00A03DC9"/>
    <w:rsid w:val="00A07246"/>
    <w:rsid w:val="00A15BDC"/>
    <w:rsid w:val="00A22E72"/>
    <w:rsid w:val="00A409AD"/>
    <w:rsid w:val="00A42CB7"/>
    <w:rsid w:val="00A461E5"/>
    <w:rsid w:val="00A52D4B"/>
    <w:rsid w:val="00A53419"/>
    <w:rsid w:val="00A54C48"/>
    <w:rsid w:val="00A608AC"/>
    <w:rsid w:val="00A6177F"/>
    <w:rsid w:val="00A72DD3"/>
    <w:rsid w:val="00A90D3C"/>
    <w:rsid w:val="00A94BB4"/>
    <w:rsid w:val="00A97A1E"/>
    <w:rsid w:val="00AA2920"/>
    <w:rsid w:val="00AB52C7"/>
    <w:rsid w:val="00AC02B9"/>
    <w:rsid w:val="00AE525B"/>
    <w:rsid w:val="00AE5CF8"/>
    <w:rsid w:val="00AF5C42"/>
    <w:rsid w:val="00B01E88"/>
    <w:rsid w:val="00B16968"/>
    <w:rsid w:val="00B253D6"/>
    <w:rsid w:val="00B30FA1"/>
    <w:rsid w:val="00B41950"/>
    <w:rsid w:val="00B5037A"/>
    <w:rsid w:val="00B507D8"/>
    <w:rsid w:val="00B548A8"/>
    <w:rsid w:val="00B727F7"/>
    <w:rsid w:val="00B80B2D"/>
    <w:rsid w:val="00B849F0"/>
    <w:rsid w:val="00B87605"/>
    <w:rsid w:val="00B87DA8"/>
    <w:rsid w:val="00B936EF"/>
    <w:rsid w:val="00B93FCD"/>
    <w:rsid w:val="00B96B11"/>
    <w:rsid w:val="00BA54E2"/>
    <w:rsid w:val="00BB0D10"/>
    <w:rsid w:val="00BB0E32"/>
    <w:rsid w:val="00BB2A75"/>
    <w:rsid w:val="00BD06B8"/>
    <w:rsid w:val="00BD1EAA"/>
    <w:rsid w:val="00BE705A"/>
    <w:rsid w:val="00BF135C"/>
    <w:rsid w:val="00BF3428"/>
    <w:rsid w:val="00BF6D14"/>
    <w:rsid w:val="00C02D96"/>
    <w:rsid w:val="00C0705A"/>
    <w:rsid w:val="00C16B1B"/>
    <w:rsid w:val="00C245E7"/>
    <w:rsid w:val="00C31C83"/>
    <w:rsid w:val="00C34B4B"/>
    <w:rsid w:val="00C54005"/>
    <w:rsid w:val="00C54C99"/>
    <w:rsid w:val="00C92F4B"/>
    <w:rsid w:val="00C938F8"/>
    <w:rsid w:val="00C94950"/>
    <w:rsid w:val="00C94D6D"/>
    <w:rsid w:val="00CA52E2"/>
    <w:rsid w:val="00CA5509"/>
    <w:rsid w:val="00CD3E00"/>
    <w:rsid w:val="00CD742B"/>
    <w:rsid w:val="00CE0288"/>
    <w:rsid w:val="00CE3C24"/>
    <w:rsid w:val="00CF57AE"/>
    <w:rsid w:val="00CF66F9"/>
    <w:rsid w:val="00D03014"/>
    <w:rsid w:val="00D04456"/>
    <w:rsid w:val="00D05BC7"/>
    <w:rsid w:val="00D10DE1"/>
    <w:rsid w:val="00D1373E"/>
    <w:rsid w:val="00D146BD"/>
    <w:rsid w:val="00D2226F"/>
    <w:rsid w:val="00D25ED5"/>
    <w:rsid w:val="00D43825"/>
    <w:rsid w:val="00D5099C"/>
    <w:rsid w:val="00D52F68"/>
    <w:rsid w:val="00D56A66"/>
    <w:rsid w:val="00D60957"/>
    <w:rsid w:val="00D62AA1"/>
    <w:rsid w:val="00D84812"/>
    <w:rsid w:val="00D90852"/>
    <w:rsid w:val="00D91470"/>
    <w:rsid w:val="00D92539"/>
    <w:rsid w:val="00DA0902"/>
    <w:rsid w:val="00DA4651"/>
    <w:rsid w:val="00DA6414"/>
    <w:rsid w:val="00DB280F"/>
    <w:rsid w:val="00DB3994"/>
    <w:rsid w:val="00DC34FC"/>
    <w:rsid w:val="00DD291D"/>
    <w:rsid w:val="00DD3EE4"/>
    <w:rsid w:val="00DE0239"/>
    <w:rsid w:val="00DF0080"/>
    <w:rsid w:val="00DF3D6C"/>
    <w:rsid w:val="00E06B58"/>
    <w:rsid w:val="00E07004"/>
    <w:rsid w:val="00E11A7E"/>
    <w:rsid w:val="00E22118"/>
    <w:rsid w:val="00E27D29"/>
    <w:rsid w:val="00E41283"/>
    <w:rsid w:val="00E43735"/>
    <w:rsid w:val="00E455A3"/>
    <w:rsid w:val="00E5334D"/>
    <w:rsid w:val="00E55F75"/>
    <w:rsid w:val="00E63618"/>
    <w:rsid w:val="00E70CD7"/>
    <w:rsid w:val="00E7190C"/>
    <w:rsid w:val="00E73998"/>
    <w:rsid w:val="00E81C71"/>
    <w:rsid w:val="00E82DF7"/>
    <w:rsid w:val="00E84F95"/>
    <w:rsid w:val="00E919FE"/>
    <w:rsid w:val="00E95C30"/>
    <w:rsid w:val="00EA4DB4"/>
    <w:rsid w:val="00EB1E61"/>
    <w:rsid w:val="00EB2D23"/>
    <w:rsid w:val="00EB5EEC"/>
    <w:rsid w:val="00EB6828"/>
    <w:rsid w:val="00EC6C97"/>
    <w:rsid w:val="00ED6BBA"/>
    <w:rsid w:val="00EE486A"/>
    <w:rsid w:val="00EE53FF"/>
    <w:rsid w:val="00EE77F1"/>
    <w:rsid w:val="00EF0967"/>
    <w:rsid w:val="00EF1FC6"/>
    <w:rsid w:val="00EF25E6"/>
    <w:rsid w:val="00F025E7"/>
    <w:rsid w:val="00F055D3"/>
    <w:rsid w:val="00F0755B"/>
    <w:rsid w:val="00F2168B"/>
    <w:rsid w:val="00F21EBA"/>
    <w:rsid w:val="00F24FEB"/>
    <w:rsid w:val="00F35C7F"/>
    <w:rsid w:val="00F43E98"/>
    <w:rsid w:val="00F456EE"/>
    <w:rsid w:val="00F515F8"/>
    <w:rsid w:val="00F53426"/>
    <w:rsid w:val="00F56DA2"/>
    <w:rsid w:val="00F57D7C"/>
    <w:rsid w:val="00F67FBE"/>
    <w:rsid w:val="00F73E4F"/>
    <w:rsid w:val="00F9089A"/>
    <w:rsid w:val="00F91AE5"/>
    <w:rsid w:val="00F91BE6"/>
    <w:rsid w:val="00FA149A"/>
    <w:rsid w:val="00FA7E21"/>
    <w:rsid w:val="00FB6522"/>
    <w:rsid w:val="00FB6530"/>
    <w:rsid w:val="00FB6AC1"/>
    <w:rsid w:val="00FC6F00"/>
    <w:rsid w:val="00FC7FED"/>
    <w:rsid w:val="00FD2784"/>
    <w:rsid w:val="00FD3864"/>
    <w:rsid w:val="00FD746C"/>
    <w:rsid w:val="00FE2ED5"/>
    <w:rsid w:val="00FE69D1"/>
    <w:rsid w:val="00FF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383AC"/>
  <w14:defaultImageDpi w14:val="32767"/>
  <w15:chartTrackingRefBased/>
  <w15:docId w15:val="{605617D4-A0D3-4C48-B217-6F7A9B77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B58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6B5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B5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B5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B5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B5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B5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B5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B5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B5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B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B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B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B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B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B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B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B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0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B5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06B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B5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06B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B5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06B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06B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B58"/>
    <w:rPr>
      <w:b/>
      <w:bCs/>
      <w:smallCaps/>
      <w:color w:val="2F5496" w:themeColor="accent1" w:themeShade="BF"/>
      <w:spacing w:val="5"/>
    </w:rPr>
  </w:style>
  <w:style w:type="table" w:customStyle="1" w:styleId="31">
    <w:name w:val="网格型3"/>
    <w:uiPriority w:val="39"/>
    <w:qFormat/>
    <w:rsid w:val="00E06B58"/>
    <w:pPr>
      <w:spacing w:after="0" w:line="240" w:lineRule="auto"/>
    </w:pPr>
    <w:rPr>
      <w:rFonts w:ascii="Aptos" w:eastAsia="Times New Roman" w:hAnsi="Aptos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7257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57CD"/>
    <w:rPr>
      <w:rFonts w:ascii="Calibri" w:eastAsia="宋体" w:hAnsi="Calibri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257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57CD"/>
    <w:rPr>
      <w:rFonts w:ascii="Calibri" w:eastAsia="宋体" w:hAnsi="Calibri" w:cs="Times New Roman"/>
      <w:sz w:val="18"/>
      <w:szCs w:val="18"/>
      <w14:ligatures w14:val="none"/>
    </w:rPr>
  </w:style>
  <w:style w:type="character" w:styleId="af2">
    <w:name w:val="Hyperlink"/>
    <w:basedOn w:val="a0"/>
    <w:uiPriority w:val="99"/>
    <w:unhideWhenUsed/>
    <w:qFormat/>
    <w:rsid w:val="0083119B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83119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3119B"/>
    <w:pPr>
      <w:tabs>
        <w:tab w:val="right" w:leader="dot" w:pos="13948"/>
      </w:tabs>
      <w:jc w:val="left"/>
    </w:pPr>
  </w:style>
  <w:style w:type="character" w:styleId="af3">
    <w:name w:val="Strong"/>
    <w:basedOn w:val="a0"/>
    <w:uiPriority w:val="22"/>
    <w:qFormat/>
    <w:rsid w:val="001C45F2"/>
    <w:rPr>
      <w:b/>
      <w:bCs/>
    </w:rPr>
  </w:style>
  <w:style w:type="character" w:customStyle="1" w:styleId="math-inline">
    <w:name w:val="math-inline"/>
    <w:basedOn w:val="a0"/>
    <w:rsid w:val="001C45F2"/>
  </w:style>
  <w:style w:type="table" w:customStyle="1" w:styleId="11">
    <w:name w:val="网格型1"/>
    <w:basedOn w:val="a1"/>
    <w:uiPriority w:val="39"/>
    <w:qFormat/>
    <w:rsid w:val="001C45F2"/>
    <w:pPr>
      <w:spacing w:after="0" w:line="240" w:lineRule="auto"/>
    </w:pPr>
    <w:rPr>
      <w:rFonts w:ascii="Aptos" w:eastAsia="Times New Roman" w:hAnsi="Aptos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D62AA1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D62AA1"/>
    <w:pPr>
      <w:jc w:val="left"/>
    </w:pPr>
  </w:style>
  <w:style w:type="character" w:customStyle="1" w:styleId="af6">
    <w:name w:val="批注文字 字符"/>
    <w:basedOn w:val="a0"/>
    <w:link w:val="af5"/>
    <w:uiPriority w:val="99"/>
    <w:rsid w:val="00D62AA1"/>
    <w:rPr>
      <w:rFonts w:ascii="Calibri" w:eastAsia="宋体" w:hAnsi="Calibri" w:cs="Times New Roman"/>
      <w:sz w:val="21"/>
      <w:szCs w:val="21"/>
      <w14:ligatures w14:val="none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62AA1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D62AA1"/>
    <w:rPr>
      <w:rFonts w:ascii="Calibri" w:eastAsia="宋体" w:hAnsi="Calibri" w:cs="Times New Roman"/>
      <w:b/>
      <w:bCs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84087-DCF7-4F12-960E-57395E58B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3720</Words>
  <Characters>21206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Zhang</dc:creator>
  <cp:keywords/>
  <dc:description/>
  <cp:lastModifiedBy>Zhang, Zhao</cp:lastModifiedBy>
  <cp:revision>5</cp:revision>
  <dcterms:created xsi:type="dcterms:W3CDTF">2026-04-20T00:37:00Z</dcterms:created>
  <dcterms:modified xsi:type="dcterms:W3CDTF">2026-04-20T02:19:00Z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f65bd148-67b2-4bb0-b965-7f8c46eb659a</vt:lpwstr>
  </property>
</Properties>
</file>