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1/2 from the local workbook </w:t>
      </w:r>
      <w:r>
        <w:rPr>
          <w:rFonts w:ascii="Consolas" w:hAnsi="Consolas"/>
          <w:sz w:val="20"/>
        </w:rPr>
        <w:t>results/manuscript_tables/table1_2_co2_rso2.xlsx</w:t>
      </w:r>
      <w:r>
        <w:t>. Supporting flow-count, long-format, wide-format, and available-column CSV files are in the same directory.]</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2"/>
      </w:pPr>
      <w:r>
        <w:t>Sensitivity analyses remain incomplete</w:t>
      </w:r>
    </w:p>
    <w:p>
      <w:r>
        <w:t>Planned sensitivity analyses across alternative ventilatory and hemodynamic specifications were not available in the current analysis package and should be completed before any robustness claim is made. These analyses should either be completed before submission or removed from the manuscript and supplement.</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does not test postoperative neurological outcomes, and does not yet include the full planned sensitivity package. Current comparisons are limited to EtCO2, FiO2, and temperature; broader comparisons with all intraoperative hemodynamic and ventilatory variables require completed all-intraop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