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source-coded </w:t>
      </w:r>
      <w:r>
        <w:rPr>
          <w:rFonts w:ascii="Consolas" w:hAnsi="Consolas"/>
          <w:sz w:val="20"/>
        </w:rPr>
        <w:t>SEX=1</w:t>
      </w:r>
      <w:r>
        <w:t xml:space="preserve"> row requires final data-dictionary confirmation before journal submission.]</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2"/>
      </w:pPr>
      <w:r>
        <w:t>Sensitivity analyses remain incomplete</w:t>
      </w:r>
    </w:p>
    <w:p>
      <w:r>
        <w:t>Planned sensitivity analyses across alternative ventilatory and hemodynamic specifications were not available in the current analysis package and should be completed before any robustness claim is made. These analyses should either be completed before submission or removed from the manuscript and supplement.</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does not test postoperative neurological outcomes, and does not yet include the full planned sensitivity package. Current comparisons are limited to EtCO2, FiO2, and temperature; broader comparisons with all intraoperative hemodynamic and ventilatory variables require completed all-intraop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