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is associated with cerebral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is associated with cerebral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cerebral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by tissue oxygenation channel.</w:t>
      </w:r>
    </w:p>
    <w:p>
      <w:pPr>
        <w:pStyle w:val="ListBullet"/>
      </w:pPr>
      <w:r>
        <w:t>Figure 2. Adjusted EtCO2-rSO2 response curves by tissue oxygenation channel.</w:t>
      </w:r>
    </w:p>
    <w:p>
      <w:pPr>
        <w:pStyle w:val="ListBullet"/>
      </w:pPr>
      <w:r>
        <w:t>Figure 3. Clinical-step comparison of EtCO2, FiO2, and temperature.</w:t>
      </w:r>
    </w:p>
    <w:p>
      <w:r>
        <w:t>Supplementary display item:</w:t>
      </w:r>
    </w:p>
    <w:p>
      <w:pPr>
        <w:pStyle w:val="ListBullet"/>
      </w:pPr>
      <w:r>
        <w:t>Supplementary Figure 1. Descriptive local slopes across the analytic EtCO2 range.</w:t>
      </w:r>
    </w:p>
    <w:p>
      <w:pPr>
        <w:pStyle w:val="Heading1"/>
      </w:pPr>
      <w:r>
        <w:t>Abstract</w:t>
      </w:r>
    </w:p>
    <w:p>
      <w:r>
        <w:t>Near-infrared spectroscopy provides continuous tissue oxygenation data during cardiac surgery, but a change in rSO2 is difficult to interpret when ventilation, oxygen delivery, temperature, pressure, and flow change together. Carbon dioxide is a plausible contributor to this signal because it affects cerebrovascular tone, and end-tidal carbon dioxide (EtCO2) is recorded continuously during anesthesia. Here we modeled high-frequency intraoperative data from patients undergoing off-pump coronary bypass surgery to estimate adjusted nonlinear relationships between EtCO2 and regional tissue oxygenation. The analytic cohorts included 1,792 patients for left and right cerebral tissue oxygen saturation (SctO2) and 1,789 patients for forearm tissue oxygen saturation (SftO2), with more than 20 million usable timestamp-level observations per channel. We fitted generalized additive models separately for left SctO2, right SctO2, and SftO2, adjusting for FiO2, temperature, mean arterial pressure, cardiac index, other available covariates, and patient-level factors. A 5 mmHg higher EtCO2 was associated with 2.89 percentage points higher left SctO2 (95% CI, 2.41 to 3.33), 2.98 percentage points higher right SctO2 (95% CI, 2.64 to 3.28), and 0.92 percentage points higher SftO2 (95% CI, 0.68 to 1.16). Equivalent clinical-step contrasts for FiO2 and temperature were smaller and less consistent. EtCO2 therefore emerged as a strong, nonlinear, tissue-bed-specific correlate of intraoperative cerebral oxygenation. These data support using EtCO2 as context when interpreting cerebral oximetry during off-pump coronary bypass, but they do not establish PaCO2-mediated causality, define an EtCO2 target, or show that changing EtCO2 improves patient outcomes.</w:t>
      </w:r>
    </w:p>
    <w:p>
      <w:pPr>
        <w:pStyle w:val="Heading1"/>
      </w:pPr>
      <w:r>
        <w:t>Introduction</w:t>
      </w:r>
    </w:p>
    <w:p>
      <w:r>
        <w:t>Near-infrared spectroscopy is used during cardiac surgery to monitor regional tissue oxygenation in real time.^1 Its clinical interpretation remains difficult. A low cerebral rSO2 value can reflect impaired oxygen delivery, altered venous volume, changes in cerebral metabolic demand, sensor factors, or systemic hemodynamic instability. During off-pump coronary bypass, these influences often occur together.</w:t>
      </w:r>
    </w:p>
    <w:p>
      <w:r>
        <w:t>Carbon dioxide is one reason the signal is hard to interpret. PaCO2 changes cerebral blood flow through cerebrovascular reactivity, and controlled human experiments show graded cerebral oxygenation responses to carbon dioxide under isoxic conditions.^2 In the operating room, clinicians usually see EtCO2 rather than continuous PaCO2. EtCO2 is useful because it is available at every breath, but it is not a pure carbon dioxide exposure. It also reflects ventilation-perfusion matching, pulmonary blood flow, dead space, and systemic perfusion. The same EtCO2 value can therefore carry respiratory and circulatory information.</w:t>
      </w:r>
    </w:p>
    <w:p>
      <w:r>
        <w:t>Prior perioperative work supports a relationship between carbon dioxide and cerebral oxygenation, but the evidence base is fragmented. EtCO2-rSO2 modeling has been reported in carotid endarterectomy.^3 Cardiac-surgery studies have linked arterial carbon dioxide tension to NIRS values and have tested mild hypercapnia during cardiopulmonary bypass or off-pump bypass.^4,5,6 These studies establish biological plausibility and clinical interest. They do not describe, at scale, how EtCO2 relates to cerebral and peripheral tissue oxygenation during routine off-pump coronary bypass after simultaneous adjustment for oxygen fraction, temperature, perfusion pressure, cardiac index, and patient factors.</w:t>
      </w:r>
    </w:p>
    <w:p>
      <w:r>
        <w:t>We therefore used high-frequency intraoperative data to model EtCO2 and regional tissue oxygenation continuously during off-pump coronary bypass. We estimated nonlinear adjusted associations for left SctO2, right SctO2, and SftO2 using generalized additive models. We then placed EtCO2 on a clinical scale by comparing a 5 mmHg EtCO2 contrast with prespecified FiO2 and temperature contrasts. The goal was interpretive: to determine whether EtCO2 should be considered when clinicians read intraoperative cerebral oximetry, not to define a carbon dioxide treatment target.</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Descriptive local slopes were summarized across EtCO2 mmHg bins from 20 to 50 mmHg as a supplementary model-shape check.</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pPr>
        <w:spacing w:before="200" w:after="80"/>
      </w:pPr>
      <w:r>
        <w:rPr>
          <w:b/>
        </w:rPr>
        <w:t>Table 1 | Cohort characteristics.</w:t>
      </w:r>
    </w:p>
    <w:p>
      <w:pPr>
        <w:spacing w:after="120"/>
      </w:pPr>
      <w:r>
        <w:t>Values are shown by channel-specific analytic cohort. Continuous variables are mean (s.d.); categorical variables are n (%). SctO2, cerebral tissue oxygen saturation; SftO2, forearm tissue oxygen saturation.</w:t>
      </w:r>
    </w:p>
    <w:tbl>
      <w:tblPr>
        <w:tblW w:type="auto" w:w="0"/>
        <w:tblLook w:firstColumn="1" w:firstRow="1" w:lastColumn="0" w:lastRow="0" w:noHBand="0" w:noVBand="1" w:val="04A0"/>
        <w:tblW w:w="9360" w:type="dxa"/>
        <w:tblInd w:w="120" w:type="dxa"/>
      </w:tblPr>
      <w:tblGrid>
        <w:gridCol w:w="2340"/>
        <w:gridCol w:w="2340"/>
        <w:gridCol w:w="2340"/>
        <w:gridCol w:w="2340"/>
      </w:tblGrid>
      <w:tr>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Characteristic</w:t>
            </w:r>
          </w:p>
        </w:tc>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Left SctO2</w:t>
            </w:r>
          </w:p>
        </w:tc>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Right SctO2</w:t>
            </w:r>
          </w:p>
        </w:tc>
        <w:tc>
          <w:tcPr>
            <w:tcW w:type="dxa" w:w="2340"/>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SftO2</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Patients, n</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1792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1792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1789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Timestamp-level observations, n</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20,021,703</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20,075,597</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20,068,759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Age, years,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68.7 (5.3)</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68.7 (5.3)</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68.7 (5.3)</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Body mass index, kg/m2,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25.3 (3.2)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25.3 (3.2)</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25.3 (3.2)</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Male,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1255 (70.0%)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1255 (70.0%)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1254 (70.1%)</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Diabetes,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770 (43.0%)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770 (43.0%)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768 (42.9%)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Hypertension,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1316 (73.4%)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1316 (73.4%)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1313 (73.4%)</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Drinking history, n (%)</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458 (25.6%)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458 (25.6%)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458 (25.6%)</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Haemoglobin, g/L,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132.1 (15.5)</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132.1 (15.5)</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132.1 (15.5)</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Baseline cardiac index, L/min/m2,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 (0.8)</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 (0.8)</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2.5 (0.8)</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Baseline mean blood pressure, mmHg,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90.0 (12.4)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90.0 (12.4)</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89.9 (12.4)</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EtCO2, mmHg,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30.1 (4.1)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30.1 (4.1)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30.1 (4.1)</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FiO2, %,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65.4 (14.1)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65.4 (14.1)</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65.4 (14.1)</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Temperature, C,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35.5 (0.6)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35.5 (0.6)</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35.5 (0.6)</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Intraoperative MAP, mmHg,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75.9 (15.0)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75.9 (15.0)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75.9 (15.0)</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Intraoperative cardiac index, L/min/m2,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2.6 (0.9)</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2.6 (0.8)</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2.6 (0.9)</w:t>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Left SctO2, %,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71.1 (6.0)</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r>
      <w:tr>
        <w:tc>
          <w:tcPr>
            <w:tcW w:type="dxa" w:w="2340"/>
            <w:tcMar>
              <w:top w:w="60" w:type="dxa"/>
              <w:start w:w="90" w:type="dxa"/>
              <w:bottom w:w="60" w:type="dxa"/>
              <w:end w:w="90" w:type="dxa"/>
            </w:tcMar>
            <w:tcBorders>
              <w:top w:val="nil"/>
              <w:bottom w:val="nil"/>
              <w:left w:val="nil"/>
              <w:right w:val="nil"/>
            </w:tcBorders>
          </w:tcPr>
          <w:p>
            <w:pPr>
              <w:spacing w:after="0"/>
            </w:pPr>
            <w:r>
              <w:rPr>
                <w:sz w:val="14"/>
              </w:rPr>
              <w:t>Right SctO2, %, mean (s.d.)</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c>
          <w:tcPr>
            <w:tcW w:type="dxa" w:w="2340"/>
            <w:tcMar>
              <w:top w:w="60" w:type="dxa"/>
              <w:start w:w="90" w:type="dxa"/>
              <w:bottom w:w="60" w:type="dxa"/>
              <w:end w:w="90" w:type="dxa"/>
            </w:tcMar>
            <w:tcBorders>
              <w:top w:val="nil"/>
              <w:bottom w:val="nil"/>
              <w:left w:val="nil"/>
              <w:right w:val="nil"/>
            </w:tcBorders>
          </w:tcPr>
          <w:p>
            <w:pPr>
              <w:spacing w:after="0"/>
            </w:pPr>
            <w:r>
              <w:rPr>
                <w:sz w:val="14"/>
              </w:rPr>
              <w:t>71.5 (5.7)</w:t>
            </w:r>
          </w:p>
        </w:tc>
        <w:tc>
          <w:tcPr>
            <w:tcW w:type="dxa" w:w="2340"/>
            <w:tcMar>
              <w:top w:w="60" w:type="dxa"/>
              <w:start w:w="90" w:type="dxa"/>
              <w:bottom w:w="60" w:type="dxa"/>
              <w:end w:w="90" w:type="dxa"/>
            </w:tcMar>
            <w:tcBorders>
              <w:top w:val="nil"/>
              <w:bottom w:val="nil"/>
              <w:left w:val="nil"/>
              <w:right w:val="nil"/>
            </w:tcBorders>
          </w:tcPr>
          <w:p>
            <w:pPr>
              <w:spacing w:after="0"/>
            </w:pPr>
            <w:r>
              <w:rPr>
                <w:sz w:val="14"/>
              </w:rPr>
            </w:r>
          </w:p>
        </w:tc>
      </w:tr>
      <w:tr>
        <w:tc>
          <w:tcPr>
            <w:tcW w:type="dxa" w:w="2340"/>
            <w:tcMar>
              <w:top w:w="60" w:type="dxa"/>
              <w:start w:w="90" w:type="dxa"/>
              <w:bottom w:w="60" w:type="dxa"/>
              <w:end w:w="90" w:type="dxa"/>
            </w:tcMar>
            <w:tcBorders>
              <w:bottom w:val="single" w:sz="8" w:color="000000"/>
              <w:left w:val="nil"/>
              <w:right w:val="nil"/>
            </w:tcBorders>
          </w:tcPr>
          <w:p>
            <w:pPr>
              <w:spacing w:after="0"/>
            </w:pPr>
            <w:r>
              <w:rPr>
                <w:sz w:val="14"/>
              </w:rPr>
              <w:t>SftO2, %, mean (s.d.)</w:t>
            </w:r>
          </w:p>
        </w:tc>
        <w:tc>
          <w:tcPr>
            <w:tcW w:type="dxa" w:w="2340"/>
            <w:tcMar>
              <w:top w:w="60" w:type="dxa"/>
              <w:start w:w="90" w:type="dxa"/>
              <w:bottom w:w="60" w:type="dxa"/>
              <w:end w:w="90" w:type="dxa"/>
            </w:tcMar>
            <w:tcBorders>
              <w:bottom w:val="single" w:sz="8" w:color="000000"/>
              <w:left w:val="nil"/>
              <w:right w:val="nil"/>
            </w:tcBorders>
          </w:tcPr>
          <w:p>
            <w:pPr>
              <w:spacing w:after="0"/>
            </w:pPr>
            <w:r>
              <w:rPr>
                <w:sz w:val="14"/>
              </w:rPr>
            </w:r>
          </w:p>
        </w:tc>
        <w:tc>
          <w:tcPr>
            <w:tcW w:type="dxa" w:w="2340"/>
            <w:tcMar>
              <w:top w:w="60" w:type="dxa"/>
              <w:start w:w="90" w:type="dxa"/>
              <w:bottom w:w="60" w:type="dxa"/>
              <w:end w:w="90" w:type="dxa"/>
            </w:tcMar>
            <w:tcBorders>
              <w:bottom w:val="single" w:sz="8" w:color="000000"/>
              <w:left w:val="nil"/>
              <w:right w:val="nil"/>
            </w:tcBorders>
          </w:tcPr>
          <w:p>
            <w:pPr>
              <w:spacing w:after="0"/>
            </w:pPr>
            <w:r>
              <w:rPr>
                <w:sz w:val="14"/>
              </w:rPr>
            </w:r>
          </w:p>
        </w:tc>
        <w:tc>
          <w:tcPr>
            <w:tcW w:type="dxa" w:w="2340"/>
            <w:tcMar>
              <w:top w:w="60" w:type="dxa"/>
              <w:start w:w="90" w:type="dxa"/>
              <w:bottom w:w="60" w:type="dxa"/>
              <w:end w:w="90" w:type="dxa"/>
            </w:tcMar>
            <w:tcBorders>
              <w:bottom w:val="single" w:sz="8" w:color="000000"/>
              <w:left w:val="nil"/>
              <w:right w:val="nil"/>
            </w:tcBorders>
          </w:tcPr>
          <w:p>
            <w:pPr>
              <w:spacing w:after="0"/>
            </w:pPr>
            <w:r>
              <w:rPr>
                <w:sz w:val="14"/>
              </w:rPr>
              <w:t>75.5 (5.9)</w:t>
            </w:r>
          </w:p>
        </w:tc>
      </w:tr>
    </w:tbl>
    <w:p/>
    <w:p>
      <w:pPr>
        <w:spacing w:before="200" w:after="80"/>
      </w:pPr>
      <w:r>
        <w:rPr>
          <w:b/>
        </w:rPr>
        <w:t>Figure 1 | Cohort assembly by tissue oxygenation channel.</w:t>
      </w:r>
    </w:p>
    <w:p>
      <w:pPr>
        <w:spacing w:after="120"/>
      </w:pPr>
      <w:r>
        <w:t>Flow counts show patient and timestamp retention for left SctO2, right SctO2, and SftO2 analytic cohorts.</w:t>
      </w:r>
    </w:p>
    <w:p>
      <w:pPr>
        <w:jc w:val="center"/>
      </w:pPr>
      <w:r>
        <w:drawing>
          <wp:inline xmlns:a="http://schemas.openxmlformats.org/drawingml/2006/main" xmlns:pic="http://schemas.openxmlformats.org/drawingml/2006/picture">
            <wp:extent cx="5669280" cy="2815091"/>
            <wp:docPr id="1" name="Picture 1"/>
            <wp:cNvGraphicFramePr>
              <a:graphicFrameLocks noChangeAspect="1"/>
            </wp:cNvGraphicFramePr>
            <a:graphic>
              <a:graphicData uri="http://schemas.openxmlformats.org/drawingml/2006/picture">
                <pic:pic>
                  <pic:nvPicPr>
                    <pic:cNvPr id="0" name="figure1_cohort_flow.png"/>
                    <pic:cNvPicPr/>
                  </pic:nvPicPr>
                  <pic:blipFill>
                    <a:blip r:embed="rId9"/>
                    <a:stretch>
                      <a:fillRect/>
                    </a:stretch>
                  </pic:blipFill>
                  <pic:spPr>
                    <a:xfrm>
                      <a:off x="0" y="0"/>
                      <a:ext cx="5669280" cy="2815091"/>
                    </a:xfrm>
                    <a:prstGeom prst="rect"/>
                  </pic:spPr>
                </pic:pic>
              </a:graphicData>
            </a:graphic>
          </wp:inline>
        </w:drawing>
      </w:r>
    </w:p>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pPr>
        <w:spacing w:before="200" w:after="80"/>
      </w:pPr>
      <w:r>
        <w:rPr>
          <w:b/>
        </w:rPr>
        <w:t>Table 2 | Adjusted clinical-step contrasts.</w:t>
      </w:r>
    </w:p>
    <w:p>
      <w:pPr>
        <w:spacing w:after="120"/>
      </w:pPr>
      <w:r>
        <w:t>Contrasts are model-based adjusted differences in rSO2 for prespecified exposure increments. Confidence intervals are derived from archived prediction matrices and should be interpreted as model-based uncertainty intervals.</w:t>
      </w:r>
    </w:p>
    <w:tbl>
      <w:tblPr>
        <w:tblW w:type="auto" w:w="0"/>
        <w:tblLook w:firstColumn="1" w:firstRow="1" w:lastColumn="0" w:lastRow="0" w:noHBand="0" w:noVBand="1" w:val="04A0"/>
        <w:tblW w:w="9360" w:type="dxa"/>
        <w:tblInd w:w="120" w:type="dxa"/>
      </w:tblPr>
      <w:tblGrid>
        <w:gridCol w:w="1872"/>
        <w:gridCol w:w="1872"/>
        <w:gridCol w:w="1872"/>
        <w:gridCol w:w="1872"/>
        <w:gridCol w:w="1872"/>
      </w:tblGrid>
      <w:tr>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Outcome channel</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Exposure</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Clinical increment</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Adjusted rSO2 difference, percentage points</w:t>
            </w:r>
          </w:p>
        </w:tc>
        <w:tc>
          <w:tcPr>
            <w:tcW w:type="dxa" w:w="1872"/>
            <w:tcMar>
              <w:top w:w="60" w:type="dxa"/>
              <w:start w:w="90" w:type="dxa"/>
              <w:bottom w:w="60" w:type="dxa"/>
              <w:end w:w="90" w:type="dxa"/>
            </w:tcMar>
            <w:tcBorders>
              <w:top w:val="single" w:sz="8" w:color="000000"/>
              <w:bottom w:val="single" w:sz="8" w:color="000000"/>
              <w:left w:val="nil"/>
              <w:right w:val="nil"/>
            </w:tcBorders>
          </w:tcPr>
          <w:p>
            <w:pPr>
              <w:spacing w:after="0"/>
            </w:pPr>
            <w:r>
              <w:rPr>
                <w:b/>
                <w:sz w:val="14"/>
              </w:rPr>
              <w:t>95% CI</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Left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EtCO2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+5 mmHg</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2.89</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2.41 to 3.33</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Left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FiO2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+10 percentage points</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-0.18</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-0.49 to 0.12</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Left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Temperature</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+0.5 C</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0.10</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-0.16 to 0.35</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Right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EtCO2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+5 mmHg</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2.98</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2.64 to 3.28</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Right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FiO2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+10 percentage points</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-0.05</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-0.46 to 0.37</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Right SctO2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Temperature</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+0.5 C</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0.55</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0.25 to 0.87</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SftO2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EtCO2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+5 mmHg</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0.92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0.68 to 1.16</w:t>
            </w:r>
          </w:p>
        </w:tc>
      </w:tr>
      <w:tr>
        <w:tc>
          <w:tcPr>
            <w:tcW w:type="dxa" w:w="1872"/>
            <w:tcMar>
              <w:top w:w="60" w:type="dxa"/>
              <w:start w:w="90" w:type="dxa"/>
              <w:bottom w:w="60" w:type="dxa"/>
              <w:end w:w="90" w:type="dxa"/>
            </w:tcMar>
            <w:tcBorders>
              <w:top w:val="nil"/>
              <w:bottom w:val="nil"/>
              <w:left w:val="nil"/>
              <w:right w:val="nil"/>
            </w:tcBorders>
          </w:tcPr>
          <w:p>
            <w:pPr>
              <w:spacing w:after="0"/>
            </w:pPr>
            <w:r>
              <w:rPr>
                <w:sz w:val="14"/>
              </w:rPr>
              <w:t>SftO2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FiO2</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+10 percentage points</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0.30</w:t>
            </w:r>
          </w:p>
        </w:tc>
        <w:tc>
          <w:tcPr>
            <w:tcW w:type="dxa" w:w="1872"/>
            <w:tcMar>
              <w:top w:w="60" w:type="dxa"/>
              <w:start w:w="90" w:type="dxa"/>
              <w:bottom w:w="60" w:type="dxa"/>
              <w:end w:w="90" w:type="dxa"/>
            </w:tcMar>
            <w:tcBorders>
              <w:top w:val="nil"/>
              <w:bottom w:val="nil"/>
              <w:left w:val="nil"/>
              <w:right w:val="nil"/>
            </w:tcBorders>
          </w:tcPr>
          <w:p>
            <w:pPr>
              <w:spacing w:after="0"/>
            </w:pPr>
            <w:r>
              <w:rPr>
                <w:sz w:val="14"/>
              </w:rPr>
              <w:t>0.11 to 0.46</w:t>
            </w:r>
          </w:p>
        </w:tc>
      </w:tr>
      <w:tr>
        <w:tc>
          <w:tcPr>
            <w:tcW w:type="dxa" w:w="1872"/>
            <w:tcMar>
              <w:top w:w="60" w:type="dxa"/>
              <w:start w:w="90" w:type="dxa"/>
              <w:bottom w:w="60" w:type="dxa"/>
              <w:end w:w="90" w:type="dxa"/>
            </w:tcMar>
            <w:tcBorders>
              <w:bottom w:val="single" w:sz="8" w:color="000000"/>
              <w:left w:val="nil"/>
              <w:right w:val="nil"/>
            </w:tcBorders>
          </w:tcPr>
          <w:p>
            <w:pPr>
              <w:spacing w:after="0"/>
            </w:pPr>
            <w:r>
              <w:rPr>
                <w:sz w:val="14"/>
              </w:rPr>
              <w:t>SftO2</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Temperature</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+0.5 C</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0.15</w:t>
            </w:r>
          </w:p>
        </w:tc>
        <w:tc>
          <w:tcPr>
            <w:tcW w:type="dxa" w:w="1872"/>
            <w:tcMar>
              <w:top w:w="60" w:type="dxa"/>
              <w:start w:w="90" w:type="dxa"/>
              <w:bottom w:w="60" w:type="dxa"/>
              <w:end w:w="90" w:type="dxa"/>
            </w:tcMar>
            <w:tcBorders>
              <w:bottom w:val="single" w:sz="8" w:color="000000"/>
              <w:left w:val="nil"/>
              <w:right w:val="nil"/>
            </w:tcBorders>
          </w:tcPr>
          <w:p>
            <w:pPr>
              <w:spacing w:after="0"/>
            </w:pPr>
            <w:r>
              <w:rPr>
                <w:sz w:val="14"/>
              </w:rPr>
              <w:t>-0.03 to 0.30</w:t>
            </w:r>
          </w:p>
        </w:tc>
      </w:tr>
    </w:tbl>
    <w:p/>
    <w:p>
      <w:pPr>
        <w:spacing w:before="200" w:after="80"/>
      </w:pPr>
      <w:r>
        <w:rPr>
          <w:b/>
        </w:rPr>
        <w:t>Figure 3 | Clinical-step comparison of EtCO2, FiO2, and temperature.</w:t>
      </w:r>
    </w:p>
    <w:p>
      <w:pPr>
        <w:spacing w:after="120"/>
      </w:pPr>
      <w:r>
        <w:t>Points show adjusted differences in rSO2 for clinically interpretable exposure increments; horizontal bars show 95% intervals.</w:t>
      </w:r>
    </w:p>
    <w:p>
      <w:pPr>
        <w:jc w:val="center"/>
      </w:pPr>
      <w:r>
        <w:drawing>
          <wp:inline xmlns:a="http://schemas.openxmlformats.org/drawingml/2006/main" xmlns:pic="http://schemas.openxmlformats.org/drawingml/2006/picture">
            <wp:extent cx="5669280" cy="2267712"/>
            <wp:docPr id="2" name="Picture 2"/>
            <wp:cNvGraphicFramePr>
              <a:graphicFrameLocks noChangeAspect="1"/>
            </wp:cNvGraphicFramePr>
            <a:graphic>
              <a:graphicData uri="http://schemas.openxmlformats.org/drawingml/2006/picture">
                <pic:pic>
                  <pic:nvPicPr>
                    <pic:cNvPr id="0" name="figure3_clinical_step_contrasts.png"/>
                    <pic:cNvPicPr/>
                  </pic:nvPicPr>
                  <pic:blipFill>
                    <a:blip r:embed="rId10"/>
                    <a:stretch>
                      <a:fillRect/>
                    </a:stretch>
                  </pic:blipFill>
                  <pic:spPr>
                    <a:xfrm>
                      <a:off x="0" y="0"/>
                      <a:ext cx="5669280" cy="2267712"/>
                    </a:xfrm>
                    <a:prstGeom prst="rect"/>
                  </pic:spPr>
                </pic:pic>
              </a:graphicData>
            </a:graphic>
          </wp:inline>
        </w:drawing>
      </w:r>
    </w:p>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across 20-50 mmHg EtCO2 bins supported the same shape, with steeper cerebral gradients in the mid-range and flatter gradients near the upper range; these summaries are reported as Supplementary Figure 1 because they are model-shape descriptors rather than independent clinical endpoints.</w:t>
      </w:r>
    </w:p>
    <w:p>
      <w:pPr>
        <w:spacing w:before="200" w:after="80"/>
      </w:pPr>
      <w:r>
        <w:rPr>
          <w:b/>
        </w:rPr>
        <w:t>Figure 2 | Adjusted EtCO2-rSO2 response curves.</w:t>
      </w:r>
    </w:p>
    <w:p>
      <w:pPr>
        <w:spacing w:after="120"/>
      </w:pPr>
      <w:r>
        <w:t>Curves show adjusted tissue oxygenation across the observed EtCO2 range by channel. Bands show uncertainty intervals derived from archived prediction matrices. Bottom ticks show modeled curve support, not the observed EtCO2 histogram.</w:t>
      </w:r>
    </w:p>
    <w:p>
      <w:pPr>
        <w:jc w:val="center"/>
      </w:pPr>
      <w:r>
        <w:drawing>
          <wp:inline xmlns:a="http://schemas.openxmlformats.org/drawingml/2006/main" xmlns:pic="http://schemas.openxmlformats.org/drawingml/2006/picture">
            <wp:extent cx="5669280" cy="2116531"/>
            <wp:docPr id="3" name="Picture 3"/>
            <wp:cNvGraphicFramePr>
              <a:graphicFrameLocks noChangeAspect="1"/>
            </wp:cNvGraphicFramePr>
            <a:graphic>
              <a:graphicData uri="http://schemas.openxmlformats.org/drawingml/2006/picture">
                <pic:pic>
                  <pic:nvPicPr>
                    <pic:cNvPr id="0" name="figure2_etco2_adjusted_curves.png"/>
                    <pic:cNvPicPr/>
                  </pic:nvPicPr>
                  <pic:blipFill>
                    <a:blip r:embed="rId11"/>
                    <a:stretch>
                      <a:fillRect/>
                    </a:stretch>
                  </pic:blipFill>
                  <pic:spPr>
                    <a:xfrm>
                      <a:off x="0" y="0"/>
                      <a:ext cx="5669280" cy="2116531"/>
                    </a:xfrm>
                    <a:prstGeom prst="rect"/>
                  </pic:spPr>
                </pic:pic>
              </a:graphicData>
            </a:graphic>
          </wp:inline>
        </w:drawing>
      </w:r>
    </w:p>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1"/>
      </w:pPr>
      <w:r>
        <w:t>Discussion</w:t>
      </w:r>
    </w:p>
    <w:p>
      <w:r>
        <w:t>This high-frequency analysis identifies EtCO2 as a strong adjusted correlate of cerebral tissue oxygenation during off-pump coronary bypass. A 5 mmHg higher EtCO2 was associated with nearly 3 percentage points higher left and right SctO2. The same contrast was associated with less than 1 percentage point higher SftO2. The separation between cerebral and forearm channels is the central result: EtCO2 tracked cerebral oximetry more closely than peripheral oximetry in this surgical setting.</w:t>
      </w:r>
    </w:p>
    <w:p>
      <w:r>
        <w:t>The association is biologically plausible. Carbon dioxide changes cerebrovascular tone, and controlled physiology studies show graded cerebral oxygenation responses to carbon dioxide under controlled oxygen conditions.^2 We observed the same direction of association in routine operative data, where EtCO2, FiO2, temperature, pressure, cardiac index and patient factors vary together. EtCO2 should therefore be read as a clinically available marker that carries carbon dioxide, ventilation-perfusion and perfusion information, not as a direct substitute for PaCO2.</w:t>
      </w:r>
    </w:p>
    <w:p>
      <w:r>
        <w:t>The forearm channel strengthens the interpretation. If EtCO2 were acting only as a nonspecific marker of signal quality, systemic oxygenation or global physiologic instability, similar contrasts across tissue beds would be expected. Instead, the cerebral contrasts were about three times larger than the SftO2 contrast. Forearm oximetry reflects skeletal muscle, skin, subcutaneous tissue, venous volume, local microvascular tone and probe position. Cerebral oximetry is more directly linked to carbon dioxide-mediated cerebrovascular reactivity. The smaller forearm association therefore supports tissue-bed specificity rather than a uniform rSO2 response.</w:t>
      </w:r>
    </w:p>
    <w:p>
      <w:r>
        <w:t>The clinical-step comparison places this association on a practical scale. In the current models, a 10 percentage-point higher FiO2 was not associated with a consistent increase in cerebral SctO2, and a 0.5 C higher temperature showed smaller channel-dependent associations. EtCO2 showed the largest and most consistent cerebral contrast among the prespecified respiratory and thermal comparisons. This does not mean EtCO2 should be increased whenever SctO2 falls. It means that a low or changing cerebral oximetry value during off-pump coronary bypass should be interpreted with the EtCO2 trend in view, especially when oxygen saturation is already high and hemodynamic variables are changing.</w:t>
      </w:r>
    </w:p>
    <w:p>
      <w:r>
        <w:t>These findings fit prior carbon dioxide and NIRS work but add scale and clinical context. Volunteer data showed graded cerebral oxygenation responses to carbon dioxide under controlled conditions.^2 Carotid endarterectomy data supported quantitative EtCO2-rSO2 modeling.^3 Cardiac-surgery studies linked PaCO2 to cerebral oximetry and tested mild hypercapnia during cardiopulmonary bypass or off-pump bypass.^4,5,6 The present analysis does not replace those mechanistic and interventional studies. It shows that the EtCO2-rSO2 relationship remains visible in routine off-pump coronary bypass data after simultaneous adjustment for major intraoperative covariates.</w:t>
      </w:r>
    </w:p>
    <w:p>
      <w:r>
        <w:t>The limitations define the claim. EtCO2 is not PaCO2. It is shaped by ventilation, dead space, pulmonary blood flow, cardiac output and ventilation-perfusion matching, so residual confounding by perfusion and gas exchange is unavoidable. The models used sampled timestamp-level data and model-based uncertainty intervals, so they should be interpreted as physiologic association models rather than patient-level causal estimates. The analysis did not test postoperative neurological outcomes, did not define an optimal EtCO2 range and did not establish whether changing EtCO2 improves cerebral oxygenation in an individual patient. Prospective validation should pair EtCO2 with arterial PaCO2, prespecify ventilatory protocols, integrate hemodynamic monitoring and link intraoperative oxygenation patterns to postoperative outcomes. Until then, EtCO2 should be treated as context for cerebral oximetry, not as a treatment target derived from this dataset.</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r>
        <w:t xml:space="preserve">Reference verification status is documented in </w:t>
      </w:r>
      <w:r>
        <w:rPr>
          <w:rFonts w:ascii="Consolas" w:hAnsi="Consolas"/>
          <w:sz w:val="20"/>
        </w:rPr>
        <w:t>docs/manuscript_development/CO2_REFERENCE_AUDIT.md</w:t>
      </w:r>
      <w:r>
        <w:t>.</w:t>
      </w:r>
    </w:p>
    <w:p>
      <w:pPr>
        <w:pStyle w:val="Heading1"/>
      </w:pPr>
      <w:r>
        <w:t>Author Information and Declarations</w:t>
      </w:r>
    </w:p>
    <w:p>
      <w:pPr>
        <w:pStyle w:val="Heading2"/>
      </w:pPr>
      <w:r>
        <w:t>Author list and affiliations</w:t>
      </w:r>
    </w:p>
    <w:p>
      <w:r>
        <w:t>[Insert the confirmed CO2 manuscript author list, order, affiliations, and ORCID identifiers. Do not copy the prior MAP/CI author block unless the author group and order are confirmed.]</w:t>
      </w:r>
    </w:p>
    <w:p>
      <w:pPr>
        <w:pStyle w:val="Heading2"/>
      </w:pPr>
      <w:r>
        <w:t>Ethics approval and consent to participate</w:t>
      </w:r>
    </w:p>
    <w:p>
      <w:r>
        <w:t>[Insert the institutional review board name, approval number, approval date, and consent/waiver wording for the CO2 analysis. The current draft uses parent-cohort language from the prior MAP/CI manuscript and Bottomline-CS trial registration (</w:t>
      </w:r>
      <w:r>
        <w:rPr>
          <w:rFonts w:ascii="Consolas" w:hAnsi="Consolas"/>
          <w:sz w:val="20"/>
        </w:rPr>
        <w:t>NCT04896736</w:t>
      </w:r>
      <w:r>
        <w:t>), but the exact ethics statement must be confirmed before submission.]</w:t>
      </w:r>
    </w:p>
    <w:p>
      <w:pPr>
        <w:pStyle w:val="Heading2"/>
      </w:pPr>
      <w:r>
        <w:t>Funding</w:t>
      </w:r>
    </w:p>
    <w:p>
      <w:r>
        <w:t>[Insert the confirmed funding statement for the CO2 manuscript. The prior MAP/CI manuscript reported institutional/departmental support at Tianjin Chest Hospital, affiliated with Tianjin University and Indiana University School of Medicine, with no other funding sources; use that wording only if it applies to the CO2 analysis.]</w:t>
      </w:r>
    </w:p>
    <w:p>
      <w:pPr>
        <w:pStyle w:val="Heading2"/>
      </w:pPr>
      <w:r>
        <w:t>Competing interests</w:t>
      </w:r>
    </w:p>
    <w:p>
      <w:r>
        <w:t>[Insert the confirmed competing-interests statement. Do not state that the authors have no competing interests until all authors have confirmed.]</w:t>
      </w:r>
    </w:p>
    <w:p>
      <w:pPr>
        <w:pStyle w:val="Heading2"/>
      </w:pPr>
      <w:r>
        <w:t>Author contributions</w:t>
      </w:r>
    </w:p>
    <w:p>
      <w:r>
        <w:t>[Insert contribution roles after the author list is final. Suggested role categories: conceptualization, data curation, formal analysis, methodology, software, validation, visualization, writing-original draft, writing-review and editing, supervision, and project administration.]</w:t>
      </w:r>
    </w:p>
    <w:p>
      <w:pPr>
        <w:pStyle w:val="Heading2"/>
      </w:pPr>
      <w:r>
        <w:t>Data availability</w:t>
      </w:r>
    </w:p>
    <w:p>
      <w:r>
        <w:t>[Insert the confirmed data availability statement. Patient-level intraoperative data are expected to be restricted because they derive from clinical records; state the access pathway, approval requirements, and contact point only after confirmation.]</w:t>
      </w:r>
    </w:p>
    <w:p>
      <w:pPr>
        <w:pStyle w:val="Heading2"/>
      </w:pPr>
      <w:r>
        <w:t>Code availability</w:t>
      </w:r>
    </w:p>
    <w:p>
      <w:r>
        <w:t>[Insert the confirmed code availability statement. Archive the CO2-rSO2 repository at the final submission commit hash and state whether the repository is public, private, or available on reasonable request.]</w:t>
      </w:r>
    </w:p>
    <w:p>
      <w:pPr>
        <w:pStyle w:val="Heading2"/>
      </w:pPr>
      <w:r>
        <w:t>Acknowledgements</w:t>
      </w:r>
    </w:p>
    <w:p>
      <w:r>
        <w:t>[Insert acknowledgements after author and funding confirmation.]</w:t>
      </w:r>
    </w:p>
    <w:sectPr w:rsidR="00FC693F" w:rsidRPr="0006063C" w:rsidSect="00034616">
      <w:footerReference w:type="default"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