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and intraoperative EtCO2/rSO2 distributions.</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r>
        <w:t xml:space="preserve">[Insert Table 1 from </w:t>
      </w:r>
      <w:r>
        <w:rPr>
          <w:rFonts w:ascii="Consolas" w:hAnsi="Consolas"/>
          <w:sz w:val="20"/>
        </w:rPr>
        <w:t>docs/manuscript_development/generated_assets/table1_cohort_characteristics.xlsx</w:t>
      </w:r>
      <w:r>
        <w:t xml:space="preserve">. The full baseline, intraoperative, and flow-count tables are available as Supplementary eTable 1/2 in </w:t>
      </w:r>
      <w:r>
        <w:rPr>
          <w:rFonts w:ascii="Consolas" w:hAnsi="Consolas"/>
          <w:sz w:val="20"/>
        </w:rPr>
        <w:t>docs/manuscript_development/generated_assets/supplementary_etable1_2_cohort_characteristics.xlsx</w:t>
      </w:r>
      <w:r>
        <w:t xml:space="preserve">. The sex label audit supports reporting the source-coded </w:t>
      </w:r>
      <w:r>
        <w:rPr>
          <w:rFonts w:ascii="Consolas" w:hAnsi="Consolas"/>
          <w:sz w:val="20"/>
        </w:rPr>
        <w:t>SEX=1</w:t>
      </w:r>
      <w:r>
        <w:t xml:space="preserve"> row as male.]</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r>
        <w:t xml:space="preserve">[Insert Figure 2: </w:t>
      </w:r>
      <w:r>
        <w:rPr>
          <w:rFonts w:ascii="Consolas" w:hAnsi="Consolas"/>
          <w:sz w:val="20"/>
        </w:rPr>
        <w:t>generated_assets/figure2_etco2_adjusted_curves.png</w:t>
      </w:r>
      <w:r>
        <w:t>. Bands show uncertainty intervals derived from archived prediction matrices; the bootstrap construction and sampling unit are described in the Supplement.]</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and does not test postoperative neurological outcomes. Current comparisons are limited to EtCO2, FiO2, and temperature; broader comparisons with all intraoperative hemodynamic and ventilatory variables would require completed all-intraoperative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 to verify and format</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pPr>
        <w:pStyle w:val="Heading1"/>
      </w:pPr>
      <w:r>
        <w:t>Author-side items not filled</w:t>
      </w:r>
    </w:p>
    <w:p>
      <w:pPr>
        <w:pStyle w:val="ListBullet"/>
      </w:pPr>
      <w:r>
        <w:t>final author list and order;</w:t>
      </w:r>
    </w:p>
    <w:p>
      <w:pPr>
        <w:pStyle w:val="ListBullet"/>
      </w:pPr>
      <w:r>
        <w:t>corresponding author;</w:t>
      </w:r>
    </w:p>
    <w:p>
      <w:pPr>
        <w:pStyle w:val="ListBullet"/>
      </w:pPr>
      <w:r>
        <w:t>funding statement;</w:t>
      </w:r>
    </w:p>
    <w:p>
      <w:pPr>
        <w:pStyle w:val="ListBullet"/>
      </w:pPr>
      <w:r>
        <w:t>conflict of interest statement;</w:t>
      </w:r>
    </w:p>
    <w:p>
      <w:pPr>
        <w:pStyle w:val="ListBullet"/>
      </w:pPr>
      <w:r>
        <w:t>ethics approval details;</w:t>
      </w:r>
    </w:p>
    <w:p>
      <w:pPr>
        <w:pStyle w:val="ListBullet"/>
      </w:pPr>
      <w:r>
        <w:t>data availability statement;</w:t>
      </w:r>
    </w:p>
    <w:p>
      <w:pPr>
        <w:pStyle w:val="ListBullet"/>
      </w:pPr>
      <w:r>
        <w:t>code availability statement;</w:t>
      </w:r>
    </w:p>
    <w:p>
      <w:pPr>
        <w:pStyle w:val="ListBullet"/>
      </w:pPr>
      <w:r>
        <w:t>author contributions.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