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36"/>
        </w:rPr>
        <w:t>CO2 Supplementary Tables Index</w:t>
      </w:r>
    </w:p>
    <w:p>
      <w:r>
        <w:t>Draft status: journal-facing supplement index for coauthor review. The table contents are source-backed, but final journal captions, workbook tab names, and file naming should be adjusted after the target journal is chosen.</w:t>
      </w:r>
    </w:p>
    <w:p>
      <w:pPr>
        <w:pStyle w:val="Heading1"/>
      </w:pPr>
      <w:r>
        <w:t>Supplementary Table Plan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9360" w:type="dxa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Item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Purpose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Key columns or contents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Status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1. Cohort flow and signal availability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Documents patient and timestamp retention for each tissue oxygenation channel.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Filtering stage, tissue oxygenation channel, timestamp rows, patient counts.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2. Baseline and intraoperative characteristics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Provides the expanded cohort description behind main Table 1.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Cohort, characteristic, value, missing count; wide and long formats are available.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3. Timestamp-level artifact and outlier exclusions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Describes implausible EtCO2 and tissue oxygenation values removed before modeling.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Variable, channel, exclusion rule, excluded timestamps, retained timestamps.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4. Missingness and imputation of time-varying covariates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Documents preprocessing for intraoperative covariates used in adjustment.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Variable, physiologic range, missing before imputation, imputation step, missing after imputation.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5. Patient-level EtCO2 and tissue oxygenation summaries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Summarizes exposure and outcome distributions at the patient level.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Tissue oxygenation channel, patients, observations, EtCO2 mean, rSO2 mean.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6. Model performance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Reports fit and complexity of the channel-specific generalized additive models.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Outcome, sampled rows, model features, effective degrees of freedom, deviance explained, RMSE.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7. Nonparametric smooth terms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Supports the nonlinear EtCO2-rSO2 claim and other smooth covariate adjustments.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Outcome, smooth term, effective degrees of freedom, test statistic, p value.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8. Parametric covariate terms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Documents patient-level covariate terms included in the models.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Outcome, covariate, estimate, standard error or interval, p value.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9. Sensitivity analyses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Reserved for planned 5-model EtCO2 sensitivity analyses.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Outcome, model variant, EtCO2 contrast, 95% CI, status.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Not reported; planned result directories are missing</w:t>
            </w:r>
          </w:p>
        </w:tc>
      </w:tr>
    </w:tbl>
    <w:p/>
    <w:p>
      <w:pPr>
        <w:pStyle w:val="Heading1"/>
      </w:pPr>
      <w:r>
        <w:t>Main Display Items Linked to the Supplement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9360" w:type="dxa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Main display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Supplementary support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Review asset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Table 1. Cohort characteristics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eTables 1 and 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Main Table 1 XLSX and CSV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Table 2. Adjusted clinical-step contrasts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eTables 6 and 7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Main Table 2 XLSX and CSV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Figure 1. Cohort assembly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Figure 1 source CSV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Figure 2. Adjusted EtCO2-rSO2 curves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eTables 6 and 7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Figure 2 source CSV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Figure 3. Clinical-step contrasts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Table 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Figure 3 source CSV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Figure 4. EtCO2 local slopes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7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Figure 4 source CSV</w:t>
            </w:r>
          </w:p>
        </w:tc>
      </w:tr>
    </w:tbl>
    <w:p/>
    <w:p>
      <w:pPr>
        <w:pStyle w:val="Heading1"/>
      </w:pPr>
      <w:r>
        <w:t>Source Traceability</w:t>
      </w:r>
    </w:p>
    <w:p>
      <w:pPr>
        <w:pStyle w:val="ListBullet"/>
      </w:pPr>
      <w:r>
        <w:t xml:space="preserve">eTables 1 and 2: </w:t>
      </w:r>
      <w:r>
        <w:rPr>
          <w:rFonts w:ascii="Consolas" w:hAnsi="Consolas"/>
          <w:sz w:val="20"/>
        </w:rPr>
        <w:t>docs/manuscript_development/generated_assets/supplementary_etable1_2_cohort_characteristics.xlsx</w:t>
      </w:r>
      <w:r>
        <w:t xml:space="preserve">; </w:t>
      </w:r>
      <w:r>
        <w:rPr>
          <w:rFonts w:ascii="Consolas" w:hAnsi="Consolas"/>
          <w:sz w:val="20"/>
        </w:rPr>
        <w:t>docs/manuscript_development/generated_assets/supplementary_etable1_2_cohort_characteristics_long.csv</w:t>
      </w:r>
      <w:r>
        <w:t xml:space="preserve">; source files under </w:t>
      </w:r>
      <w:r>
        <w:rPr>
          <w:rFonts w:ascii="Consolas" w:hAnsi="Consolas"/>
          <w:sz w:val="20"/>
        </w:rPr>
        <w:t>results/manuscript_tables/</w:t>
      </w:r>
      <w:r>
        <w:t>.</w:t>
      </w:r>
    </w:p>
    <w:p>
      <w:pPr>
        <w:pStyle w:val="ListBullet"/>
      </w:pPr>
      <w:r>
        <w:t xml:space="preserve">eTables 3-5: </w:t>
      </w:r>
      <w:r>
        <w:rPr>
          <w:rFonts w:ascii="Consolas" w:hAnsi="Consolas"/>
          <w:sz w:val="20"/>
        </w:rPr>
        <w:t>results/supplemental_etables/Supplemental_eTables3_5_CO2_rSO2.xlsx</w:t>
      </w:r>
      <w:r>
        <w:t xml:space="preserve"> and corresponding CSV files in </w:t>
      </w:r>
      <w:r>
        <w:rPr>
          <w:rFonts w:ascii="Consolas" w:hAnsi="Consolas"/>
          <w:sz w:val="20"/>
        </w:rPr>
        <w:t>results/supplemental_etables/</w:t>
      </w:r>
      <w:r>
        <w:t>.</w:t>
      </w:r>
    </w:p>
    <w:p>
      <w:pPr>
        <w:pStyle w:val="ListBullet"/>
      </w:pPr>
      <w:r>
        <w:t xml:space="preserve">eTables 6-8: </w:t>
      </w:r>
      <w:r>
        <w:rPr>
          <w:rFonts w:ascii="Consolas" w:hAnsi="Consolas"/>
          <w:sz w:val="20"/>
        </w:rPr>
        <w:t>results/supplemental_etables/Supplemental_eTables6_8_CO2_rSO2.xlsx</w:t>
      </w:r>
      <w:r>
        <w:t xml:space="preserve"> and corresponding CSV files in </w:t>
      </w:r>
      <w:r>
        <w:rPr>
          <w:rFonts w:ascii="Consolas" w:hAnsi="Consolas"/>
          <w:sz w:val="20"/>
        </w:rPr>
        <w:t>results/supplemental_etables/</w:t>
      </w:r>
      <w:r>
        <w:t>.</w:t>
      </w:r>
    </w:p>
    <w:p>
      <w:pPr>
        <w:pStyle w:val="ListBullet"/>
      </w:pPr>
      <w:r>
        <w:t xml:space="preserve">Main manuscript tables and source data: </w:t>
      </w:r>
      <w:r>
        <w:rPr>
          <w:rFonts w:ascii="Consolas" w:hAnsi="Consolas"/>
          <w:sz w:val="20"/>
        </w:rPr>
        <w:t>docs/manuscript_development/generated_assets/</w:t>
      </w:r>
      <w:r>
        <w:t>.</w:t>
      </w:r>
    </w:p>
    <w:p>
      <w:pPr>
        <w:pStyle w:val="Heading1"/>
      </w:pPr>
      <w:r>
        <w:t>Terminology and Formatting Notes</w:t>
      </w:r>
    </w:p>
    <w:p>
      <w:pPr>
        <w:pStyle w:val="ListBullet"/>
      </w:pPr>
      <w:r>
        <w:t>Use EtCO2 for end-tidal carbon dioxide.</w:t>
      </w:r>
    </w:p>
    <w:p>
      <w:pPr>
        <w:pStyle w:val="ListBullet"/>
      </w:pPr>
      <w:r>
        <w:t>Use SctO2 for cerebral tissue oxygen saturation and SftO2 for forearm tissue oxygen saturation.</w:t>
      </w:r>
    </w:p>
    <w:p>
      <w:pPr>
        <w:pStyle w:val="ListBullet"/>
      </w:pPr>
      <w:r>
        <w:t xml:space="preserve">Report </w:t>
      </w:r>
      <w:r>
        <w:rPr>
          <w:rFonts w:ascii="Consolas" w:hAnsi="Consolas"/>
          <w:sz w:val="20"/>
        </w:rPr>
        <w:t>rSO2_Ch1</w:t>
      </w:r>
      <w:r>
        <w:t xml:space="preserve"> as left SctO2, </w:t>
      </w:r>
      <w:r>
        <w:rPr>
          <w:rFonts w:ascii="Consolas" w:hAnsi="Consolas"/>
          <w:sz w:val="20"/>
        </w:rPr>
        <w:t>rSO2_Ch2</w:t>
      </w:r>
      <w:r>
        <w:t xml:space="preserve"> as right SctO2, and </w:t>
      </w:r>
      <w:r>
        <w:rPr>
          <w:rFonts w:ascii="Consolas" w:hAnsi="Consolas"/>
          <w:sz w:val="20"/>
        </w:rPr>
        <w:t>rSO2_Ch3</w:t>
      </w:r>
      <w:r>
        <w:t xml:space="preserve"> as SftO2.</w:t>
      </w:r>
    </w:p>
    <w:p>
      <w:pPr>
        <w:pStyle w:val="ListBullet"/>
      </w:pPr>
      <w:r>
        <w:t xml:space="preserve">Sex is reported as </w:t>
      </w:r>
      <w:r>
        <w:rPr>
          <w:rFonts w:ascii="Consolas" w:hAnsi="Consolas"/>
          <w:sz w:val="20"/>
        </w:rPr>
        <w:t>Male, n (%)</w:t>
      </w:r>
      <w:r>
        <w:t xml:space="preserve"> in manuscript-facing assets; see </w:t>
      </w:r>
      <w:r>
        <w:rPr>
          <w:rFonts w:ascii="Consolas" w:hAnsi="Consolas"/>
          <w:sz w:val="20"/>
        </w:rPr>
        <w:t>CO2_SEX_LABEL_AUDIT.md</w:t>
      </w:r>
      <w:r>
        <w:t>.</w:t>
      </w:r>
    </w:p>
    <w:p>
      <w:pPr>
        <w:pStyle w:val="ListBullet"/>
      </w:pPr>
      <w:r>
        <w:t xml:space="preserve">No sensitivity-analysis table is included in the current evidence package because all planned sensitivity result directories are marked as </w:t>
      </w:r>
      <w:r>
        <w:rPr>
          <w:rFonts w:ascii="Consolas" w:hAnsi="Consolas"/>
          <w:sz w:val="20"/>
        </w:rPr>
        <w:t>missing_result_dir</w:t>
      </w:r>
      <w:r>
        <w:t xml:space="preserve">; see </w:t>
      </w:r>
      <w:r>
        <w:rPr>
          <w:rFonts w:ascii="Consolas" w:hAnsi="Consolas"/>
          <w:sz w:val="20"/>
        </w:rPr>
        <w:t>CO2_SENSITIVITY_DECISION.md</w:t>
      </w:r>
      <w:r>
        <w:t>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CO2-rSO2 manuscript draft V1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