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and regional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and regional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tissue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by tissue oxygenation channel.</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Near-infrared spectroscopy tracks tissue oxygenation during cardiac surgery, but changes in rSO2 are difficult to attribute because ventilation, oxygen delivery, temperature, blood pressure, and flow vary together. Carbon dioxide is a plausible contributor because it affects cerebrovascular tone and is continuously available as end-tidal carbon dioxide (EtCO2) during anesthesia. We used high-frequency intraoperative data from approximately 1,800 patients undergoing off-pump coronary bypass surgery to estimate adjusted nonlinear relationships between EtCO2 and regional tissue oxygenation. EtCO2 was analyzed as a continuously available clinical marker of ventilation-perfusion and perfusion physiology, not as a direct substitute for PaCO2. Generalized additive models were fitted separately for left cerebral tissue oxygen saturation (left SctO2), right SctO2, and forearm tissue oxygen saturation (SftO2), with adjustment for FiO2, temperature, mean arterial pressure, cardiac index, other available covariates, and patient-level factors. A 5 mmHg higher EtCO2 was associated with higher tissue oxygenation by 2.89 percentage points (95% CI, 2.41 to 3.33) for left SctO2, 2.98 percentage points (95% CI, 2.64 to 3.28) for right SctO2, and 0.92 percentage points (95% CI, 0.68 to 1.16) for SftO2. Comparable clinical-step changes in FiO2 and temperature were smaller and less consistent. These findings identify EtCO2 as an adjusted correlate of intraoperative cerebral oxygenation, but they do not establish PaCO2-mediated causality, an optimal EtCO2 target, or benefit from EtCO2 manipulation.</w:t>
      </w:r>
    </w:p>
    <w:p>
      <w:pPr>
        <w:pStyle w:val="Heading1"/>
      </w:pPr>
      <w:r>
        <w:t>Introduction</w:t>
      </w:r>
    </w:p>
    <w:p>
      <w:r>
        <w:t>Near-infrared spectroscopy gives anesthesiologists a continuous view of regional tissue oxygenation during cardiac surgery.^1 The signal precedes clinical neurological or systemic outcomes, but its physiological source is often ambiguous. A fall in rSO2 may reflect changes in perfusion pressure, cardiac output, arterial oxygen content, cerebral metabolism, ventilation, temperature, sensor position, or several of these at once.</w:t>
      </w:r>
    </w:p>
    <w:p>
      <w:r>
        <w:t>Carbon dioxide is a plausible contributor because PaCO2 changes cerebral blood flow through cerebrovascular reactivity, and EtCO2 is recorded continuously during anesthesia.^2 In practice, however, EtCO2 is not a pure respiratory exposure. It also reflects ventilation-perfusion matching, pulmonary blood flow, and systemic perfusion. This makes EtCO2 clinically useful and analytically difficult: the same number can signal a ventilation change, a perfusion change, or both.</w:t>
      </w:r>
    </w:p>
    <w:p>
      <w:r>
        <w:t>Controlled studies have shown that manipulating carbon dioxide can alter cerebral oxygen saturation. Healthy-volunteer experiments found graded cerebral oxygenation responses to end-tidal carbon dioxide, and perioperative studies have examined EtCO2-rSO2 relationships in selected surgical settings.^2,3 Cardiac-surgery work has also explored whether NIRS reflects CO2-related physiology and whether mild hypercapnia can attenuate cerebral desaturation.^4,5 These studies support biological plausibility, but most used small samples, controlled gas challenges, selected surgical settings, or intermittent measurements.</w:t>
      </w:r>
    </w:p>
    <w:p>
      <w:r>
        <w:t>Few data describe the adjusted EtCO2-rSO2 relationship at high temporal resolution during off-pump coronary bypass. We therefore modeled EtCO2 and tissue oxygenation continuously, using generalized additive models to estimate nonlinear relationships after adjustment for FiO2, temperature, hemodynamics, and patient factors. We also compared EtCO2 with FiO2 and temperature using clinically interpretable exposure increments, and we examined whether the association differed between cerebral and forearm tissue beds.</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r>
        <w:t xml:space="preserve">[Insert Table 1 from </w:t>
      </w:r>
      <w:r>
        <w:rPr>
          <w:rFonts w:ascii="Consolas" w:hAnsi="Consolas"/>
          <w:sz w:val="20"/>
        </w:rPr>
        <w:t>docs/manuscript_development/generated_assets/table1_cohort_characteristics.xlsx</w:t>
      </w:r>
      <w:r>
        <w:t xml:space="preserve">. The full baseline, intraoperative, and flow-count tables are available as Supplementary eTable 1/2 in </w:t>
      </w:r>
      <w:r>
        <w:rPr>
          <w:rFonts w:ascii="Consolas" w:hAnsi="Consolas"/>
          <w:sz w:val="20"/>
        </w:rPr>
        <w:t>docs/manuscript_development/generated_assets/supplementary_etable1_2_cohort_characteristics.xlsx</w:t>
      </w:r>
      <w:r>
        <w:t xml:space="preserve">. The sex label audit supports reporting the source-coded </w:t>
      </w:r>
      <w:r>
        <w:rPr>
          <w:rFonts w:ascii="Consolas" w:hAnsi="Consolas"/>
          <w:sz w:val="20"/>
        </w:rPr>
        <w:t>SEX=1</w:t>
      </w:r>
      <w:r>
        <w:t xml:space="preserve"> row as male.]</w:t>
      </w:r>
    </w:p>
    <w:p>
      <w:r>
        <w:t xml:space="preserve">[Insert Figure 1: </w:t>
      </w:r>
      <w:r>
        <w:rPr>
          <w:rFonts w:ascii="Consolas" w:hAnsi="Consolas"/>
          <w:sz w:val="20"/>
        </w:rPr>
        <w:t>docs/manuscript_development/generated_assets/figure1_cohort_flow.png</w:t>
      </w:r>
      <w:r>
        <w:t xml:space="preserve">. Source data: </w:t>
      </w:r>
      <w:r>
        <w:rPr>
          <w:rFonts w:ascii="Consolas" w:hAnsi="Consolas"/>
          <w:sz w:val="20"/>
        </w:rPr>
        <w:t>docs/manuscript_development/generated_assets/source_data_figure1_cohort_flow.csv</w:t>
      </w:r>
      <w:r>
        <w:t>.]</w:t>
      </w:r>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r>
        <w:t xml:space="preserve">[Insert Table 2: </w:t>
      </w:r>
      <w:r>
        <w:rPr>
          <w:rFonts w:ascii="Consolas" w:hAnsi="Consolas"/>
          <w:sz w:val="20"/>
        </w:rPr>
        <w:t>generated_assets/table2_clinical_step_contrasts.xlsx</w:t>
      </w:r>
      <w:r>
        <w:t xml:space="preserve">. Insert Figure 3: </w:t>
      </w:r>
      <w:r>
        <w:rPr>
          <w:rFonts w:ascii="Consolas" w:hAnsi="Consolas"/>
          <w:sz w:val="20"/>
        </w:rPr>
        <w:t>generated_assets/figure3_clinical_step_contrasts.png</w:t>
      </w:r>
      <w:r>
        <w:t>.]</w:t>
      </w:r>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suggested steeper EtCO2-rSO2 gradients in the central exposure range and flatter gradients near the upper tail, where data were sparser and uncertainty was wider.</w:t>
      </w:r>
    </w:p>
    <w:p>
      <w:r>
        <w:t xml:space="preserve">[Insert Figure 2: </w:t>
      </w:r>
      <w:r>
        <w:rPr>
          <w:rFonts w:ascii="Consolas" w:hAnsi="Consolas"/>
          <w:sz w:val="20"/>
        </w:rPr>
        <w:t>generated_assets/figure2_etco2_adjusted_curves.png</w:t>
      </w:r>
      <w:r>
        <w:t>. Bands show uncertainty intervals derived from archived prediction matrices; the bootstrap construction and sampling unit are described in the Supplement.]</w:t>
      </w:r>
    </w:p>
    <w:p>
      <w:r>
        <w:t xml:space="preserve">[Insert Figure 4: </w:t>
      </w:r>
      <w:r>
        <w:rPr>
          <w:rFonts w:ascii="Consolas" w:hAnsi="Consolas"/>
          <w:sz w:val="20"/>
        </w:rPr>
        <w:t>generated_assets/figure4_etco2_local_slopes.png</w:t>
      </w:r>
      <w:r>
        <w:t xml:space="preserve">. Source data: </w:t>
      </w:r>
      <w:r>
        <w:rPr>
          <w:rFonts w:ascii="Consolas" w:hAnsi="Consolas"/>
          <w:sz w:val="20"/>
        </w:rPr>
        <w:t>generated_assets/source_data_figure4_etco2_local_slopes.csv</w:t>
      </w:r>
      <w:r>
        <w:t>. Local slopes are descriptive model summaries from EtCO2 decile bins.]</w:t>
      </w:r>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1"/>
      </w:pPr>
      <w:r>
        <w:t>Discussion</w:t>
      </w:r>
    </w:p>
    <w:p>
      <w:r>
        <w:t>This high-frequency intraoperative analysis identifies EtCO2 as a clinically interpretable correlate of tissue oxygenation during off-pump coronary bypass surgery. The association was largest in the two cerebral channels: a 5 mmHg higher EtCO2 corresponded to approximately 3 percentage points higher left and right SctO2, with bootstrap confidence intervals that excluded zero. The corresponding association with SftO2 was positive but smaller. This site-specific pattern argues against treating cerebral and forearm oximetry channels as interchangeable. Cerebral and forearm sensors appear to carry related but distinct physiologic information.</w:t>
      </w:r>
    </w:p>
    <w:p>
      <w:r>
        <w:t>The cerebral finding is biologically plausible. Carbon dioxide is a potent regulator of cerebrovascular tone, and controlled human studies show graded cerebral oxygenation responses to changes in end-tidal or arterial carbon dioxide.^2 Rather than studying a controlled gas challenge, this analysis estimates the EtCO2-rSO2 relationship in routine intraoperative data, during a procedure in which ventilation, perfusion, oxygen delivery, vasoactive treatment, and temperature vary simultaneously. The association remained visible after adjustment for FiO2, temperature, mean arterial pressure, hemodynamic covariates, and patient-level factors. These data indicate that EtCO2 should be considered alongside hemodynamic and oxygenation variables when interpreting cerebral oximetry changes during off-pump coronary bypass.</w:t>
      </w:r>
    </w:p>
    <w:p>
      <w:r>
        <w:t>The smaller SftO2 association supports tissue-bed specificity rather than a uniform oximetry response across sensor sites. Forearm tissue oxygenation reflects skeletal muscle, skin, subcutaneous tissue, venous volume, local microvascular tone, and probe-specific factors. These determinants differ from those of cerebral oxygenation, where carbon dioxide-mediated cerebrovascular reactivity is expected to be more prominent. The observed pattern is consistent with a stronger CO2-linked signal in cerebral tissue than in the peripheral tissue bed. It also supports using paired cerebral and peripheral oximetry cautiously: concordant changes may suggest shared systemic physiology, whereas disproportionate cerebral changes may prompt closer review of cerebral perfusion, ventilation, and carbon dioxide measurements.</w:t>
      </w:r>
    </w:p>
    <w:p>
      <w:r>
        <w:t>The FiO2 and temperature contrasts place the EtCO2 association on a clinical scale. FiO2, temperature, and ventilation are all adjustable during anesthesia, but their modeled clinical-step associations with rSO2 were not equivalent. In the current analysis, EtCO2 showed the largest and most consistent association with left and right SctO2 among the evaluated respiratory and thermal variables. This does not mean that EtCO2 should be manipulated automatically whenever rSO2 falls. It suggests that EtCO2 is a relevant contextual variable when clinicians interpret low or falling cerebral rSO2. A low or falling rSO2 value may not be interpretable without knowing whether EtCO2 has changed, particularly when arterial oxygen saturation is already high and perfusion variables are changing at the same time.</w:t>
      </w:r>
    </w:p>
    <w:p>
      <w:r>
        <w:t>Prior studies tested carbon dioxide under controlled or selected perioperative conditions; this analysis examines routine off-pump bypass data at timestamp level. In carotid endarterectomy, EtCO2-rSO2 pharmacodynamic modeling showed that rSO2 tended to increase as EtCO2 increased.^3 In cardiac surgery, PaCO2 changes have been linked to changes in cerebral oxygenation during controlled conditions, and pilot trials have tested mild hypercapnia during cardiopulmonary bypass or off-pump bypass.^4,5 The present analysis differs in scale and design. It uses millions of timestamp-level observations from off-pump coronary bypass surgery and models nonlinear adjusted relationships rather than relying on intermittent measurements or selected gas targets. This design is useful for physiologic interpretation, but it is not a substitute for a prospective trial.</w:t>
      </w:r>
    </w:p>
    <w:p>
      <w:r>
        <w:t>The claim has clear limits. EtCO2 is not PaCO2. It is influenced by ventilation, dead space, pulmonary blood flow, cardiac output, and ventilation-perfusion matching, so residual confounding by perfusion and gas exchange cannot be eliminated. The study is observational, and the modeled association should not be interpreted as proof that raising EtCO2 will raise cerebral oxygenation in a given patient. The analysis does not identify an optimal EtCO2 range and does not test postoperative neurological outcomes. Current comparisons are limited to EtCO2, FiO2, and temperature; broader comparisons with all intraoperative hemodynamic and ventilatory variables would require completed all-intraoperative models. The manuscript should therefore make a physiologic and interpretive claim, not a therapeutic claim.</w:t>
      </w:r>
    </w:p>
    <w:p>
      <w:r>
        <w:t>EtCO2 provides clinically available context for interpreting intraoperative cerebral oxygenation during off-pump coronary bypass. If the association is supported by sensitivity analyses and external cohorts, EtCO2 may become a useful component of physiology-guided interpretation of cerebral oximetry. Prospective studies with PaCO2 measurement, prespecified EtCO2 protocols, and clinical endpoints are needed before this approach can be tested as a management strategy.</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r>
        <w:t xml:space="preserve">Reference verification status is documented in </w:t>
      </w:r>
      <w:r>
        <w:rPr>
          <w:rFonts w:ascii="Consolas" w:hAnsi="Consolas"/>
          <w:sz w:val="20"/>
        </w:rPr>
        <w:t>docs/manuscript_development/CO2_REFERENCE_AUDIT.md</w:t>
      </w:r>
      <w:r>
        <w:t>.</w:t>
      </w:r>
    </w:p>
    <w:p>
      <w:pPr>
        <w:pStyle w:val="Heading1"/>
      </w:pPr>
      <w:r>
        <w:t>Author Information and Declarations</w:t>
      </w:r>
    </w:p>
    <w:p>
      <w:pPr>
        <w:pStyle w:val="Heading2"/>
      </w:pPr>
      <w:r>
        <w:t>Author list and affiliations</w:t>
      </w:r>
    </w:p>
    <w:p>
      <w:r>
        <w:t>[Insert the confirmed CO2 manuscript author list, order, affiliations, and ORCID identifiers. Do not copy the prior MAP/CI author block unless the author group and order are confirmed.]</w:t>
      </w:r>
    </w:p>
    <w:p>
      <w:pPr>
        <w:pStyle w:val="Heading2"/>
      </w:pPr>
      <w:r>
        <w:t>Ethics approval and consent to participate</w:t>
      </w:r>
    </w:p>
    <w:p>
      <w:r>
        <w:t>[Insert the institutional review board name, approval number, approval date, and consent/waiver wording for the CO2 analysis. The current draft uses parent-cohort language from the prior MAP/CI manuscript and Bottomline-CS trial registration (</w:t>
      </w:r>
      <w:r>
        <w:rPr>
          <w:rFonts w:ascii="Consolas" w:hAnsi="Consolas"/>
          <w:sz w:val="20"/>
        </w:rPr>
        <w:t>NCT04896736</w:t>
      </w:r>
      <w:r>
        <w:t>), but the exact ethics statement must be confirmed before submission.]</w:t>
      </w:r>
    </w:p>
    <w:p>
      <w:pPr>
        <w:pStyle w:val="Heading2"/>
      </w:pPr>
      <w:r>
        <w:t>Funding</w:t>
      </w:r>
    </w:p>
    <w:p>
      <w:r>
        <w:t>[Insert the confirmed funding statement for the CO2 manuscript. The prior MAP/CI manuscript reported institutional/departmental support at Tianjin Chest Hospital, affiliated with Tianjin University and Indiana University School of Medicine, with no other funding sources; use that wording only if it applies to the CO2 analysis.]</w:t>
      </w:r>
    </w:p>
    <w:p>
      <w:pPr>
        <w:pStyle w:val="Heading2"/>
      </w:pPr>
      <w:r>
        <w:t>Competing interests</w:t>
      </w:r>
    </w:p>
    <w:p>
      <w:r>
        <w:t>[Insert the confirmed competing-interests statement. Do not state that the authors have no competing interests until all authors have confirmed.]</w:t>
      </w:r>
    </w:p>
    <w:p>
      <w:pPr>
        <w:pStyle w:val="Heading2"/>
      </w:pPr>
      <w:r>
        <w:t>Author contributions</w:t>
      </w:r>
    </w:p>
    <w:p>
      <w:r>
        <w:t>[Insert contribution roles after the author list is final. Suggested role categories: conceptualization, data curation, formal analysis, methodology, software, validation, visualization, writing-original draft, writing-review and editing, supervision, and project administration.]</w:t>
      </w:r>
    </w:p>
    <w:p>
      <w:pPr>
        <w:pStyle w:val="Heading2"/>
      </w:pPr>
      <w:r>
        <w:t>Data availability</w:t>
      </w:r>
    </w:p>
    <w:p>
      <w:r>
        <w:t>[Insert the confirmed data availability statement. Patient-level intraoperative data are expected to be restricted because they derive from clinical records; state the access pathway, approval requirements, and contact point only after confirmation.]</w:t>
      </w:r>
    </w:p>
    <w:p>
      <w:pPr>
        <w:pStyle w:val="Heading2"/>
      </w:pPr>
      <w:r>
        <w:t>Code availability</w:t>
      </w:r>
    </w:p>
    <w:p>
      <w:r>
        <w:t>[Insert the confirmed code availability statement. Archive the CO2-rSO2 repository at the final submission commit hash and state whether the repository is public, private, or available on reasonable request.]</w:t>
      </w:r>
    </w:p>
    <w:p>
      <w:pPr>
        <w:pStyle w:val="Heading2"/>
      </w:pPr>
      <w:r>
        <w:t>Acknowledgements</w:t>
      </w:r>
    </w:p>
    <w:p>
      <w:r>
        <w:t>[Insert acknowledgements after author and funding confirmation.]</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