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by tissue oxygenation channel.</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 from </w:t>
      </w:r>
      <w:r>
        <w:rPr>
          <w:rFonts w:ascii="Consolas" w:hAnsi="Consolas"/>
          <w:sz w:val="20"/>
        </w:rPr>
        <w:t>docs/manuscript_development/generated_assets/table1_cohort_characteristics.xlsx</w:t>
      </w:r>
      <w:r>
        <w:t xml:space="preserve">. The full baseline, intraoperative, and flow-count tables are available as Supplementary eTable 1/2 in </w:t>
      </w:r>
      <w:r>
        <w:rPr>
          <w:rFonts w:ascii="Consolas" w:hAnsi="Consolas"/>
          <w:sz w:val="20"/>
        </w:rPr>
        <w:t>docs/manuscript_development/generated_assets/supplementary_etable1_2_cohort_characteristics.xlsx</w:t>
      </w:r>
      <w:r>
        <w:t xml:space="preserve">. The sex label audit supports reporting the source-coded </w:t>
      </w:r>
      <w:r>
        <w:rPr>
          <w:rFonts w:ascii="Consolas" w:hAnsi="Consolas"/>
          <w:sz w:val="20"/>
        </w:rPr>
        <w:t>SEX=1</w:t>
      </w:r>
      <w:r>
        <w:t xml:space="preserve"> row as male.]</w:t>
      </w:r>
    </w:p>
    <w:p>
      <w:r>
        <w:t xml:space="preserve">[Insert Figure 1: </w:t>
      </w:r>
      <w:r>
        <w:rPr>
          <w:rFonts w:ascii="Consolas" w:hAnsi="Consolas"/>
          <w:sz w:val="20"/>
        </w:rPr>
        <w:t>docs/manuscript_development/generated_assets/figure1_cohort_flow.png</w:t>
      </w:r>
      <w:r>
        <w:t xml:space="preserve">. Source data: </w:t>
      </w:r>
      <w:r>
        <w:rPr>
          <w:rFonts w:ascii="Consolas" w:hAnsi="Consolas"/>
          <w:sz w:val="20"/>
        </w:rPr>
        <w:t>docs/manuscript_development/generated_assets/source_data_figure1_cohort_flow.csv</w:t>
      </w:r>
      <w:r>
        <w:t>.]</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r>
        <w:t xml:space="preserve">[Insert Figure 4: </w:t>
      </w:r>
      <w:r>
        <w:rPr>
          <w:rFonts w:ascii="Consolas" w:hAnsi="Consolas"/>
          <w:sz w:val="20"/>
        </w:rPr>
        <w:t>generated_assets/figure4_etco2_local_slopes.png</w:t>
      </w:r>
      <w:r>
        <w:t xml:space="preserve">. Source data: </w:t>
      </w:r>
      <w:r>
        <w:rPr>
          <w:rFonts w:ascii="Consolas" w:hAnsi="Consolas"/>
          <w:sz w:val="20"/>
        </w:rPr>
        <w:t>generated_assets/source_data_figure4_etco2_local_slopes.csv</w:t>
      </w:r>
      <w:r>
        <w:t>. Local slopes are descriptive model summaries from EtCO2 decile bins.]</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and does not test postoperative neurological outcomes. Current comparisons are limited to EtCO2, FiO2, and temperature; broader comparisons with all intraoperative hemodynamic and ventilatory variables would require completed all-intraoperative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pPr>
        <w:pStyle w:val="Heading1"/>
      </w:pPr>
      <w:r>
        <w:t>Author Information and Declarations</w:t>
      </w:r>
    </w:p>
    <w:p>
      <w:pPr>
        <w:pStyle w:val="Heading2"/>
      </w:pPr>
      <w:r>
        <w:t>Author list and affiliations</w:t>
      </w:r>
    </w:p>
    <w:p>
      <w:r>
        <w:t>[Insert the confirmed CO2 manuscript author list, order, affiliations, and ORCID identifiers. Do not copy the prior MAP/CI author block unless the author group and order are confirmed.]</w:t>
      </w:r>
    </w:p>
    <w:p>
      <w:pPr>
        <w:pStyle w:val="Heading2"/>
      </w:pPr>
      <w:r>
        <w:t>Ethics approval and consent to participate</w:t>
      </w:r>
    </w:p>
    <w:p>
      <w:r>
        <w:t>[Insert the institutional review board name, approval number, approval date, and consent/waiver wording for the CO2 analysis. The current draft uses parent-cohort language from the prior MAP/CI manuscript and Bottomline-CS trial registration (</w:t>
      </w:r>
      <w:r>
        <w:rPr>
          <w:rFonts w:ascii="Consolas" w:hAnsi="Consolas"/>
          <w:sz w:val="20"/>
        </w:rPr>
        <w:t>NCT04896736</w:t>
      </w:r>
      <w:r>
        <w:t>), but the exact ethics statement must be confirmed before submission.]</w:t>
      </w:r>
    </w:p>
    <w:p>
      <w:pPr>
        <w:pStyle w:val="Heading2"/>
      </w:pPr>
      <w:r>
        <w:t>Funding</w:t>
      </w:r>
    </w:p>
    <w:p>
      <w:r>
        <w:t>[Insert the confirmed funding statement for the CO2 manuscript. The prior MAP/CI manuscript reported institutional/departmental support at Tianjin Chest Hospital, affiliated with Tianjin University and Indiana University School of Medicine, with no other funding sources; use that wording only if it applies to the CO2 analysis.]</w:t>
      </w:r>
    </w:p>
    <w:p>
      <w:pPr>
        <w:pStyle w:val="Heading2"/>
      </w:pPr>
      <w:r>
        <w:t>Competing interests</w:t>
      </w:r>
    </w:p>
    <w:p>
      <w:r>
        <w:t>[Insert the confirmed competing-interests statement. Do not state that the authors have no competing interests until all authors have confirmed.]</w:t>
      </w:r>
    </w:p>
    <w:p>
      <w:pPr>
        <w:pStyle w:val="Heading2"/>
      </w:pPr>
      <w:r>
        <w:t>Author contributions</w:t>
      </w:r>
    </w:p>
    <w:p>
      <w:r>
        <w:t>[Insert contribution roles after the author list is final. Suggested role categories: conceptualization, data curation, formal analysis, methodology, software, validation, visualization, writing-original draft, writing-review and editing, supervision, and project administration.]</w:t>
      </w:r>
    </w:p>
    <w:p>
      <w:pPr>
        <w:pStyle w:val="Heading2"/>
      </w:pPr>
      <w:r>
        <w:t>Data availability</w:t>
      </w:r>
    </w:p>
    <w:p>
      <w:r>
        <w:t>[Insert the confirmed data availability statement. Patient-level intraoperative data are expected to be restricted because they derive from clinical records; state the access pathway, approval requirements, and contact point only after confirmation.]</w:t>
      </w:r>
    </w:p>
    <w:p>
      <w:pPr>
        <w:pStyle w:val="Heading2"/>
      </w:pPr>
      <w:r>
        <w:t>Code availability</w:t>
      </w:r>
    </w:p>
    <w:p>
      <w:r>
        <w:t>[Insert the confirmed code availability statement. Archive the CO2-rSO2 repository at the final submission commit hash and state whether the repository is public, private, or available on reasonable request.]</w:t>
      </w:r>
    </w:p>
    <w:p>
      <w:pPr>
        <w:pStyle w:val="Heading2"/>
      </w:pPr>
      <w:r>
        <w:t>Acknowledgements</w:t>
      </w:r>
    </w:p>
    <w:p>
      <w:r>
        <w:t>[Insert acknowledgements after author and funding confirmation.]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