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by tissue oxygenation channel.</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pPr>
        <w:spacing w:before="200" w:after="80"/>
      </w:pPr>
      <w:r>
        <w:rPr>
          <w:b/>
        </w:rPr>
        <w:t>Table 1 | Cohort characteristics.</w:t>
      </w:r>
    </w:p>
    <w:p>
      <w:pPr>
        <w:spacing w:after="120"/>
      </w:pPr>
      <w:r>
        <w:t>Values are shown by channel-specific analytic cohort. Continuous variables are mean (s.d.); categorical variables are n (%). SctO2, cerebral tissue oxygen saturation; SftO2, forearm tissue oxygen saturation.</w:t>
      </w:r>
    </w:p>
    <w:tbl>
      <w:tblPr>
        <w:tblW w:type="auto" w:w="0"/>
        <w:tblLook w:firstColumn="1" w:firstRow="1" w:lastColumn="0" w:lastRow="0" w:noHBand="0" w:noVBand="1" w:val="04A0"/>
        <w:tblW w:w="9360" w:type="dxa"/>
        <w:tblInd w:w="120" w:type="dxa"/>
      </w:tblPr>
      <w:tblGrid>
        <w:gridCol w:w="2340"/>
        <w:gridCol w:w="2340"/>
        <w:gridCol w:w="2340"/>
        <w:gridCol w:w="2340"/>
      </w:tblGrid>
      <w:tr>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Characteristic</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Left SctO2</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Right SctO2</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SftO2</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Patients, n</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1792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1792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1789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Timestamp-level observations, n</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20,021,703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20,075,597</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20,068,759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Age, years,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Body mass index, kg/m2,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Male,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1255 (70.0%)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1255 (70.0%)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1254 (70.1%)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Diabetes,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770 (43.0%)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770 (43.0%)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768 (42.9%)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Hypertension,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1316 (73.4%)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1316 (73.4%)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1313 (73.4%)</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Drinking history,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Haemoglobin, g/L,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Baseline cardiac index, L/min/m2,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Baseline mean blood pressure,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90.0 (12.4)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90.0 (12.4)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89.9 (12.4)</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EtCO2,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FiO2,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Temperature, C,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Intraoperative MAP,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Intraoperative cardiac index, L/min/m2,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(0.9)</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Left SctO2,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71.1 (6.0)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Right SctO2,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71.5 (5.7)</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r>
      <w:tr>
        <w:tc>
          <w:tcPr>
            <w:tcW w:type="dxa" w:w="2340"/>
            <w:tcMar>
              <w:top w:w="60" w:type="dxa"/>
              <w:start w:w="90" w:type="dxa"/>
              <w:bottom w:w="60" w:type="dxa"/>
              <w:end w:w="90" w:type="dxa"/>
            </w:tcMar>
            <w:tcBorders>
              <w:bottom w:val="single" w:sz="8" w:color="000000"/>
              <w:left w:val="nil"/>
              <w:right w:val="nil"/>
            </w:tcBorders>
          </w:tcPr>
          <w:p>
            <w:pPr>
              <w:spacing w:after="0"/>
            </w:pPr>
            <w:r>
              <w:rPr>
                <w:sz w:val="14"/>
              </w:rPr>
              <w:t>SftO2, %, mean (s.d.)</w:t>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t>75.5 (5.9)</w:t>
            </w:r>
          </w:p>
        </w:tc>
      </w:tr>
    </w:tbl>
    <w:p/>
    <w:p>
      <w:pPr>
        <w:spacing w:before="200" w:after="80"/>
      </w:pPr>
      <w:r>
        <w:rPr>
          <w:b/>
        </w:rPr>
        <w:t>Figure 1 | Cohort assembly by tissue oxygenation channel.</w:t>
      </w:r>
    </w:p>
    <w:p>
      <w:pPr>
        <w:spacing w:after="120"/>
      </w:pPr>
      <w:r>
        <w:t>Flow counts show patient and timestamp retention for left SctO2, right SctO2, and SftO2 analytic cohorts.</w:t>
      </w:r>
    </w:p>
    <w:p>
      <w:pPr>
        <w:jc w:val="center"/>
      </w:pPr>
      <w:r>
        <w:drawing>
          <wp:inline xmlns:a="http://schemas.openxmlformats.org/drawingml/2006/main" xmlns:pic="http://schemas.openxmlformats.org/drawingml/2006/picture">
            <wp:extent cx="5669280" cy="2815091"/>
            <wp:docPr id="1" name="Picture 1"/>
            <wp:cNvGraphicFramePr>
              <a:graphicFrameLocks noChangeAspect="1"/>
            </wp:cNvGraphicFramePr>
            <a:graphic>
              <a:graphicData uri="http://schemas.openxmlformats.org/drawingml/2006/picture">
                <pic:pic>
                  <pic:nvPicPr>
                    <pic:cNvPr id="0" name="figure1_cohort_flow.png"/>
                    <pic:cNvPicPr/>
                  </pic:nvPicPr>
                  <pic:blipFill>
                    <a:blip r:embed="rId9"/>
                    <a:stretch>
                      <a:fillRect/>
                    </a:stretch>
                  </pic:blipFill>
                  <pic:spPr>
                    <a:xfrm>
                      <a:off x="0" y="0"/>
                      <a:ext cx="5669280" cy="2815091"/>
                    </a:xfrm>
                    <a:prstGeom prst="rect"/>
                  </pic:spPr>
                </pic:pic>
              </a:graphicData>
            </a:graphic>
          </wp:inline>
        </w:drawing>
      </w:r>
    </w:p>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pPr>
        <w:spacing w:before="200" w:after="80"/>
      </w:pPr>
      <w:r>
        <w:rPr>
          <w:b/>
        </w:rPr>
        <w:t>Table 2 | Adjusted clinical-step contrasts.</w:t>
      </w:r>
    </w:p>
    <w:p>
      <w:pPr>
        <w:spacing w:after="120"/>
      </w:pPr>
      <w:r>
        <w:t>Contrasts are model-based adjusted differences in rSO2 for prespecified exposure increments. Confidence intervals are derived from archived prediction matrices and should be interpreted as model-based uncertainty intervals.</w:t>
      </w:r>
    </w:p>
    <w:tbl>
      <w:tblPr>
        <w:tblW w:type="auto" w:w="0"/>
        <w:tblLook w:firstColumn="1" w:firstRow="1" w:lastColumn="0" w:lastRow="0" w:noHBand="0" w:noVBand="1" w:val="04A0"/>
        <w:tblW w:w="9360" w:type="dxa"/>
        <w:tblInd w:w="120" w:type="dxa"/>
      </w:tblPr>
      <w:tblGrid>
        <w:gridCol w:w="1872"/>
        <w:gridCol w:w="1872"/>
        <w:gridCol w:w="1872"/>
        <w:gridCol w:w="1872"/>
        <w:gridCol w:w="1872"/>
      </w:tblGrid>
      <w:tr>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Outcome channel</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Exposure</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Clinical increment</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Adjusted rSO2 difference, percentage points</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95% CI</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2.89</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2.41 to 3.33</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-0.18</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-0.49 to 0.12</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Temperature</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 C</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0.10</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-0.16 to 0.35</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2.98</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2.64 to 3.28</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-0.05</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-0.46 to 0.37</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Temperature</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 C</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0.55</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0.25 to 0.87</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SftO2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0.92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0.68 to 1.16</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SftO2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0.30</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0.11 to 0.46</w:t>
            </w:r>
          </w:p>
        </w:tc>
      </w:tr>
      <w:tr>
        <w:tc>
          <w:tcPr>
            <w:tcW w:type="dxa" w:w="1872"/>
            <w:tcMar>
              <w:top w:w="60" w:type="dxa"/>
              <w:start w:w="90" w:type="dxa"/>
              <w:bottom w:w="60" w:type="dxa"/>
              <w:end w:w="90" w:type="dxa"/>
            </w:tcMar>
            <w:tcBorders>
              <w:bottom w:val="single" w:sz="8" w:color="000000"/>
              <w:left w:val="nil"/>
              <w:right w:val="nil"/>
            </w:tcBorders>
          </w:tcPr>
          <w:p>
            <w:pPr>
              <w:spacing w:after="0"/>
            </w:pPr>
            <w:r>
              <w:rPr>
                <w:sz w:val="14"/>
              </w:rPr>
              <w:t>SftO2</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Temperature</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+0.5 C</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0.15</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-0.03 to 0.30</w:t>
            </w:r>
          </w:p>
        </w:tc>
      </w:tr>
    </w:tbl>
    <w:p/>
    <w:p>
      <w:pPr>
        <w:spacing w:before="200" w:after="80"/>
      </w:pPr>
      <w:r>
        <w:rPr>
          <w:b/>
        </w:rPr>
        <w:t>Figure 3 | Clinical-step comparison of EtCO2, FiO2, and temperature.</w:t>
      </w:r>
    </w:p>
    <w:p>
      <w:pPr>
        <w:spacing w:after="120"/>
      </w:pPr>
      <w:r>
        <w:t>Points show adjusted differences in rSO2 for clinically interpretable exposure increments; horizontal bars show 95% intervals.</w:t>
      </w:r>
    </w:p>
    <w:p>
      <w:pPr>
        <w:jc w:val="center"/>
      </w:pPr>
      <w:r>
        <w:drawing>
          <wp:inline xmlns:a="http://schemas.openxmlformats.org/drawingml/2006/main" xmlns:pic="http://schemas.openxmlformats.org/drawingml/2006/picture">
            <wp:extent cx="5669280" cy="2267712"/>
            <wp:docPr id="2" name="Picture 2"/>
            <wp:cNvGraphicFramePr>
              <a:graphicFrameLocks noChangeAspect="1"/>
            </wp:cNvGraphicFramePr>
            <a:graphic>
              <a:graphicData uri="http://schemas.openxmlformats.org/drawingml/2006/picture">
                <pic:pic>
                  <pic:nvPicPr>
                    <pic:cNvPr id="0" name="figure3_clinical_step_contrasts.png"/>
                    <pic:cNvPicPr/>
                  </pic:nvPicPr>
                  <pic:blipFill>
                    <a:blip r:embed="rId10"/>
                    <a:stretch>
                      <a:fillRect/>
                    </a:stretch>
                  </pic:blipFill>
                  <pic:spPr>
                    <a:xfrm>
                      <a:off x="0" y="0"/>
                      <a:ext cx="5669280" cy="2267712"/>
                    </a:xfrm>
                    <a:prstGeom prst="rect"/>
                  </pic:spPr>
                </pic:pic>
              </a:graphicData>
            </a:graphic>
          </wp:inline>
        </w:drawing>
      </w:r>
    </w:p>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pPr>
        <w:spacing w:before="200" w:after="80"/>
      </w:pPr>
      <w:r>
        <w:rPr>
          <w:b/>
        </w:rPr>
        <w:t>Figure 2 | Adjusted EtCO2-rSO2 response curves.</w:t>
      </w:r>
    </w:p>
    <w:p>
      <w:pPr>
        <w:spacing w:after="120"/>
      </w:pPr>
      <w:r>
        <w:t>Curves show adjusted tissue oxygenation across the observed EtCO2 range by channel. Bands show uncertainty intervals derived from archived prediction matrices.</w:t>
      </w:r>
    </w:p>
    <w:p>
      <w:pPr>
        <w:jc w:val="center"/>
      </w:pPr>
      <w:r>
        <w:drawing>
          <wp:inline xmlns:a="http://schemas.openxmlformats.org/drawingml/2006/main" xmlns:pic="http://schemas.openxmlformats.org/drawingml/2006/picture">
            <wp:extent cx="5669280" cy="1965350"/>
            <wp:docPr id="3" name="Picture 3"/>
            <wp:cNvGraphicFramePr>
              <a:graphicFrameLocks noChangeAspect="1"/>
            </wp:cNvGraphicFramePr>
            <a:graphic>
              <a:graphicData uri="http://schemas.openxmlformats.org/drawingml/2006/picture">
                <pic:pic>
                  <pic:nvPicPr>
                    <pic:cNvPr id="0" name="figure2_etco2_adjusted_curves.png"/>
                    <pic:cNvPicPr/>
                  </pic:nvPicPr>
                  <pic:blipFill>
                    <a:blip r:embed="rId11"/>
                    <a:stretch>
                      <a:fillRect/>
                    </a:stretch>
                  </pic:blipFill>
                  <pic:spPr>
                    <a:xfrm>
                      <a:off x="0" y="0"/>
                      <a:ext cx="5669280" cy="1965350"/>
                    </a:xfrm>
                    <a:prstGeom prst="rect"/>
                  </pic:spPr>
                </pic:pic>
              </a:graphicData>
            </a:graphic>
          </wp:inline>
        </w:drawing>
      </w:r>
    </w:p>
    <w:p/>
    <w:p>
      <w:pPr>
        <w:spacing w:before="200" w:after="80"/>
      </w:pPr>
      <w:r>
        <w:rPr>
          <w:b/>
        </w:rPr>
        <w:t>Figure 4 | Local slopes of the adjusted EtCO2-rSO2 relationship.</w:t>
      </w:r>
    </w:p>
    <w:p>
      <w:pPr>
        <w:spacing w:after="120"/>
      </w:pPr>
      <w:r>
        <w:t>Local slopes summarize descriptive model gradients across EtCO2 decile bins. These summaries are descriptive and do not define treatment thresholds.</w:t>
      </w:r>
    </w:p>
    <w:p>
      <w:pPr>
        <w:jc w:val="center"/>
      </w:pPr>
      <w:r>
        <w:drawing>
          <wp:inline xmlns:a="http://schemas.openxmlformats.org/drawingml/2006/main" xmlns:pic="http://schemas.openxmlformats.org/drawingml/2006/picture">
            <wp:extent cx="5669280" cy="2811963"/>
            <wp:docPr id="4" name="Picture 4"/>
            <wp:cNvGraphicFramePr>
              <a:graphicFrameLocks noChangeAspect="1"/>
            </wp:cNvGraphicFramePr>
            <a:graphic>
              <a:graphicData uri="http://schemas.openxmlformats.org/drawingml/2006/picture">
                <pic:pic>
                  <pic:nvPicPr>
                    <pic:cNvPr id="0" name="figure4_etco2_local_slopes.png"/>
                    <pic:cNvPicPr/>
                  </pic:nvPicPr>
                  <pic:blipFill>
                    <a:blip r:embed="rId12"/>
                    <a:stretch>
                      <a:fillRect/>
                    </a:stretch>
                  </pic:blipFill>
                  <pic:spPr>
                    <a:xfrm>
                      <a:off x="0" y="0"/>
                      <a:ext cx="5669280" cy="2811963"/>
                    </a:xfrm>
                    <a:prstGeom prst="rect"/>
                  </pic:spPr>
                </pic:pic>
              </a:graphicData>
            </a:graphic>
          </wp:inline>
        </w:drawing>
      </w:r>
    </w:p>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and does not test postoperative neurological outcomes. Current comparisons are limited to EtCO2, FiO2, and temperature; broader comparisons with all intraoperative hemodynamic and ventilatory variables would require completed all-intraoperative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r>
        <w:t xml:space="preserve">Reference verification status is documented in </w:t>
      </w:r>
      <w:r>
        <w:rPr>
          <w:rFonts w:ascii="Consolas" w:hAnsi="Consolas"/>
          <w:sz w:val="20"/>
        </w:rPr>
        <w:t>docs/manuscript_development/CO2_REFERENCE_AUDIT.md</w:t>
      </w:r>
      <w:r>
        <w:t>.</w:t>
      </w:r>
    </w:p>
    <w:p>
      <w:pPr>
        <w:pStyle w:val="Heading1"/>
      </w:pPr>
      <w:r>
        <w:t>Author Information and Declarations</w:t>
      </w:r>
    </w:p>
    <w:p>
      <w:pPr>
        <w:pStyle w:val="Heading2"/>
      </w:pPr>
      <w:r>
        <w:t>Author list and affiliations</w:t>
      </w:r>
    </w:p>
    <w:p>
      <w:r>
        <w:t>[Insert the confirmed CO2 manuscript author list, order, affiliations, and ORCID identifiers. Do not copy the prior MAP/CI author block unless the author group and order are confirmed.]</w:t>
      </w:r>
    </w:p>
    <w:p>
      <w:pPr>
        <w:pStyle w:val="Heading2"/>
      </w:pPr>
      <w:r>
        <w:t>Ethics approval and consent to participate</w:t>
      </w:r>
    </w:p>
    <w:p>
      <w:r>
        <w:t>[Insert the institutional review board name, approval number, approval date, and consent/waiver wording for the CO2 analysis. The current draft uses parent-cohort language from the prior MAP/CI manuscript and Bottomline-CS trial registration (</w:t>
      </w:r>
      <w:r>
        <w:rPr>
          <w:rFonts w:ascii="Consolas" w:hAnsi="Consolas"/>
          <w:sz w:val="20"/>
        </w:rPr>
        <w:t>NCT04896736</w:t>
      </w:r>
      <w:r>
        <w:t>), but the exact ethics statement must be confirmed before submission.]</w:t>
      </w:r>
    </w:p>
    <w:p>
      <w:pPr>
        <w:pStyle w:val="Heading2"/>
      </w:pPr>
      <w:r>
        <w:t>Funding</w:t>
      </w:r>
    </w:p>
    <w:p>
      <w:r>
        <w:t>[Insert the confirmed funding statement for the CO2 manuscript. The prior MAP/CI manuscript reported institutional/departmental support at Tianjin Chest Hospital, affiliated with Tianjin University and Indiana University School of Medicine, with no other funding sources; use that wording only if it applies to the CO2 analysis.]</w:t>
      </w:r>
    </w:p>
    <w:p>
      <w:pPr>
        <w:pStyle w:val="Heading2"/>
      </w:pPr>
      <w:r>
        <w:t>Competing interests</w:t>
      </w:r>
    </w:p>
    <w:p>
      <w:r>
        <w:t>[Insert the confirmed competing-interests statement. Do not state that the authors have no competing interests until all authors have confirmed.]</w:t>
      </w:r>
    </w:p>
    <w:p>
      <w:pPr>
        <w:pStyle w:val="Heading2"/>
      </w:pPr>
      <w:r>
        <w:t>Author contributions</w:t>
      </w:r>
    </w:p>
    <w:p>
      <w:r>
        <w:t>[Insert contribution roles after the author list is final. Suggested role categories: conceptualization, data curation, formal analysis, methodology, software, validation, visualization, writing-original draft, writing-review and editing, supervision, and project administration.]</w:t>
      </w:r>
    </w:p>
    <w:p>
      <w:pPr>
        <w:pStyle w:val="Heading2"/>
      </w:pPr>
      <w:r>
        <w:t>Data availability</w:t>
      </w:r>
    </w:p>
    <w:p>
      <w:r>
        <w:t>[Insert the confirmed data availability statement. Patient-level intraoperative data are expected to be restricted because they derive from clinical records; state the access pathway, approval requirements, and contact point only after confirmation.]</w:t>
      </w:r>
    </w:p>
    <w:p>
      <w:pPr>
        <w:pStyle w:val="Heading2"/>
      </w:pPr>
      <w:r>
        <w:t>Code availability</w:t>
      </w:r>
    </w:p>
    <w:p>
      <w:r>
        <w:t>[Insert the confirmed code availability statement. Archive the CO2-rSO2 repository at the final submission commit hash and state whether the repository is public, private, or available on reasonable request.]</w:t>
      </w:r>
    </w:p>
    <w:p>
      <w:pPr>
        <w:pStyle w:val="Heading2"/>
      </w:pPr>
      <w:r>
        <w:t>Acknowledgements</w:t>
      </w:r>
    </w:p>
    <w:p>
      <w:r>
        <w:t>[Insert acknowledgements after author and funding confirmation.]</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