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2545"/>
          <w:sz w:val="36"/>
        </w:rPr>
        <w:t>CO2 Supplementary Tables Index</w:t>
      </w:r>
    </w:p>
    <w:p>
      <w:r>
        <w:t>Draft status: source-backed index for the supplement. This is not a formatted journal supplement yet.</w:t>
      </w:r>
    </w:p>
    <w:p>
      <w:pPr>
        <w:pStyle w:val="Heading1"/>
      </w:pPr>
      <w:r>
        <w:t>Generated or available tables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W w:w="9360" w:type="dxa"/>
        <w:tblInd w:w="120" w:type="dxa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r>
              <w:t>Table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r>
              <w:t>Current source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r>
              <w:t>Status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r>
              <w:t>Notes</w:t>
            </w:r>
          </w:p>
        </w:tc>
      </w:tr>
      <w:t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eTable 1/2. Baseline and intraoperative characteristics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HPC `results/manuscript_tables/table1_2_co2_rso2.xlsx`, `available_columns.csv`, `flow_counts.csv`, `long.csv`, and `wide.csv`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generated remotely, pending local pull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Generated on `g24`; see `CO2_TABLE1_2_HPC_RUN_LOG.md`</w:t>
            </w:r>
          </w:p>
        </w:tc>
      </w:tr>
      <w:t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eTable 3. Timestamp-level artifact/outlier summaries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`results/supplemental_etables/supplemental_etable3_artifact_co2_rso2.csv` and `Supplemental_eTables3_5_CO2_rSO2.xlsx`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available locally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`rSO2_Ch3` is adjudicated as SftO2 in manuscript-facing outputs</w:t>
            </w:r>
          </w:p>
        </w:tc>
      </w:tr>
      <w:t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eTable 4. Missingness and imputation of intraoperative covariates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`results/supplemental_etables/supplemental_etable4_missingness_imputation_other_intraop.csv` and `Supplemental_eTables3_5_CO2_rSO2.xlsx`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available locally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Covers TEMP, FiO2, MAP, SV, HR, and CI</w:t>
            </w:r>
          </w:p>
        </w:tc>
      </w:tr>
      <w:t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eTable 5. Patient-level EtCO2 and tissue oxygenation summary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`results/supplemental_etables/supplemental_etable5_patient_level_co2_rso2.csv` and `Supplemental_eTables3_5_CO2_rSO2.xlsx`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available locally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Reports patients, observations, mean EtCO2, and tissue oxygenation</w:t>
            </w:r>
          </w:p>
        </w:tc>
      </w:tr>
      <w:t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eTable 6. Model performance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`results/supplemental_etables/supplemental_etable6_model_performance_co2_rso2.csv` and `Supplemental_eTables6_8_CO2_rSO2.xlsx`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available locally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Includes sampled rows, features, EDOF, deviance explained, RMSE</w:t>
            </w:r>
          </w:p>
        </w:tc>
      </w:tr>
      <w:t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eTable 7. Nonparametric terms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`results/supplemental_etables/supplemental_etable7_nonparametric_terms_co2_rso2.csv` and `Supplemental_eTables6_8_CO2_rSO2.xlsx`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available locally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Includes EtCO2 EDF and p values</w:t>
            </w:r>
          </w:p>
        </w:tc>
      </w:tr>
      <w:t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eTable 8. Parametric terms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`results/supplemental_etables/supplemental_etable8_parametric_terms_co2_rso2.csv` and `Supplemental_eTables6_8_CO2_rSO2.xlsx`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available locally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Includes categorical patient-level covariate terms</w:t>
            </w:r>
          </w:p>
        </w:tc>
      </w:tr>
    </w:tbl>
    <w:p/>
    <w:p>
      <w:pPr>
        <w:pStyle w:val="Heading1"/>
      </w:pPr>
      <w:r>
        <w:t>Main manuscript table candidates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W w:w="9360" w:type="dxa"/>
        <w:tblInd w:w="120" w:type="dxa"/>
      </w:tblPr>
      <w:tblGrid>
        <w:gridCol w:w="3120"/>
        <w:gridCol w:w="3120"/>
        <w:gridCol w:w="3120"/>
      </w:tblGrid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r>
              <w:t>Display item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r>
              <w:t>Source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r>
              <w:t>Recommendation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Main Table 1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remote `table1_2_co2_rso2.xlsx`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Use concise patient/cohort characteristics in main manuscript; move full long table to supplement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Main Table 2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`docs/manuscript_development/generated_assets/table2_clinical_step_contrasts.xlsx`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Use as a compact clinical-step contrast table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Supplementary model diagnostics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`docs/manuscript_development/generated_assets/supplementary_model_diagnostics.xlsx`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Keep in supplement unless target journal wants model diagnostics in Methods</w:t>
            </w:r>
          </w:p>
        </w:tc>
      </w:tr>
    </w:tbl>
    <w:p/>
    <w:p>
      <w:pPr>
        <w:pStyle w:val="Heading1"/>
      </w:pPr>
      <w:r>
        <w:t>Formatting TODO</w:t>
      </w:r>
    </w:p>
    <w:p>
      <w:pPr>
        <w:pStyle w:val="ListBullet"/>
      </w:pPr>
      <w:r>
        <w:t>Pull the generated Table 1/2 files from HPC when SSH stabilizes.</w:t>
      </w:r>
    </w:p>
    <w:p>
      <w:pPr>
        <w:pStyle w:val="ListBullet"/>
      </w:pPr>
      <w:r>
        <w:t>Split the wide generated Table 1/2 into a concise main Table 1 and full supplementary eTable 1/2.</w:t>
      </w:r>
    </w:p>
    <w:p>
      <w:pPr>
        <w:pStyle w:val="ListBullet"/>
      </w:pPr>
      <w:r>
        <w:t>Format all abbreviations consistently: EtCO2, FiO2, SctO2, SftO2, MAP, CI, SV, HR.</w:t>
      </w:r>
    </w:p>
    <w:p>
      <w:pPr>
        <w:pStyle w:val="ListBullet"/>
      </w:pPr>
      <w:r>
        <w:t>Replace repository paths with journal-facing supplement captions before submission.</w:t>
      </w:r>
    </w:p>
    <w:p>
      <w:pPr>
        <w:pStyle w:val="ListBullet"/>
      </w:pPr>
      <w:r>
        <w:t>Complete or remove the planned sensitivity-analysis tables before making any robustness claim.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CO2-rSO2 manuscript draft V1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