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CODESIN SA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100" w:before="30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INFORME DE INGENIERÍA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04040"/>
          <w:sz w:val="28"/>
          <w:szCs w:val="28"/>
        </w:rPr>
        <w:t xml:space="preserve">Estatus, KPIs, Plan de Acciones y Bloqueos</w:t>
      </w:r>
    </w:p>
    <w:p>
      <w:pPr>
        <w:pBdr>
          <w:bottom w:val="single" w:color="1F4E79" w:sz="6"/>
        </w:pBdr>
        <w:spacing w:after="100" w:before="100"/>
      </w:pP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Proyecto:</w:t>
            </w:r>
          </w:p>
        </w:tc>
        <w:tc>
          <w:tcPr>
            <w:tcW w:type="pct" w:w="75%"/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Gas Lift PAD LAA-43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Código YPF: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VCD25213 / Obra 05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Descripción: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Línea de gas lift de 4" entre Colector PTC2 LACH y PAD LAA-43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Yacimiento: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LACH (No Convencional)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Nomenclatura: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LACh-DUCGASLIFTPAD43-VCD25213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Contratista: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CODESIN SA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Cliente: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YPF S.A.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Fecha de informe: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07/09/2026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Responsable: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D.M.</w:t>
            </w:r>
          </w:p>
        </w:tc>
      </w:tr>
    </w:tbl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999999"/>
          <w:sz w:val="18"/>
          <w:szCs w:val="18"/>
        </w:rPr>
        <w:t xml:space="preserve">DOCUMENTO CONFIDENCIAL - USO INTERNO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ÍNDICE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1. Estatus de Ingeniería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2. KPIs del Proyecto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3. Cronograma por Disciplina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4. Estado de Emisión de Documentos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5. Lista de Bloqueos y Definiciones Pendientes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6. Plan de Acciones para Cumplimiento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7. Diagrama de Avance y Gráficas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8. Discrepancias Técnicas Críticas</w:t>
      </w: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9. Conclusiones y Próximos Pasos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1. Estatus de Ingeniería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 proyecto VCD25213 - Gas Lift PAD LAA-43 se encuentra en fase de cierre de ingeniería de detalle con documentación CAO al 85%. Se reportan pendientes civiles y análisis de estrés mecánico que condicionan la entrega integral del Data Book.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Avance Ingeniería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85%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curso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Data Book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90%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Pendientes C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CAO (Conforme a Obra)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85%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proceso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Balance de Materiales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Desvío de Avance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0%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Sin desvío</w:t>
            </w:r>
          </w:p>
        </w:tc>
      </w:tr>
    </w:tbl>
    <w:p>
      <w:pPr>
        <w:spacing w:before="2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Fuente de datos: Status Planning 02/07/2026, actualización de Planificación (J. L. Dimarco). Última revisión de la Matriz Maestra: Rev. 4.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2. KPIs del Proyecto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Indicadores clave de rendimiento al corte del presente informe:</w:t>
      </w:r>
    </w:p>
    <w:p>
      <w:pPr>
        <w:spacing w:before="20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Ingeniería Detalle  : </w:t>
      </w:r>
      <w:r>
        <w:rPr>
          <w:rFonts w:ascii="Consolas" w:cs="Consolas" w:eastAsia="Consolas" w:hAnsi="Consolas"/>
          <w:color w:val="FFC000"/>
          <w:sz w:val="20"/>
          <w:szCs w:val="20"/>
        </w:rPr>
        <w:t xml:space="preserve">█████████████████░░░</w:t>
      </w:r>
      <w:r>
        <w:rPr>
          <w:rFonts w:ascii="Calibri" w:cs="Calibri" w:eastAsia="Calibri" w:hAnsi="Calibri"/>
          <w:b/>
          <w:bCs/>
          <w:color w:val="FFC000"/>
          <w:sz w:val="20"/>
          <w:szCs w:val="20"/>
        </w:rPr>
        <w:t xml:space="preserve"> 85%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Book           : </w:t>
      </w:r>
      <w:r>
        <w:rPr>
          <w:rFonts w:ascii="Consolas" w:cs="Consolas" w:eastAsia="Consolas" w:hAnsi="Consolas"/>
          <w:color w:val="00B050"/>
          <w:sz w:val="20"/>
          <w:szCs w:val="20"/>
        </w:rPr>
        <w:t xml:space="preserve">██████████████████░░</w:t>
      </w:r>
      <w:r>
        <w:rPr>
          <w:rFonts w:ascii="Calibri" w:cs="Calibri" w:eastAsia="Calibri" w:hAnsi="Calibri"/>
          <w:b/>
          <w:bCs/>
          <w:color w:val="00B050"/>
          <w:sz w:val="20"/>
          <w:szCs w:val="20"/>
        </w:rPr>
        <w:t xml:space="preserve"> 90%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CAO                 : </w:t>
      </w:r>
      <w:r>
        <w:rPr>
          <w:rFonts w:ascii="Consolas" w:cs="Consolas" w:eastAsia="Consolas" w:hAnsi="Consolas"/>
          <w:color w:val="FFC000"/>
          <w:sz w:val="20"/>
          <w:szCs w:val="20"/>
        </w:rPr>
        <w:t xml:space="preserve">█████████████████░░░</w:t>
      </w:r>
      <w:r>
        <w:rPr>
          <w:rFonts w:ascii="Calibri" w:cs="Calibri" w:eastAsia="Calibri" w:hAnsi="Calibri"/>
          <w:b/>
          <w:bCs/>
          <w:color w:val="FFC000"/>
          <w:sz w:val="20"/>
          <w:szCs w:val="20"/>
        </w:rPr>
        <w:t xml:space="preserve"> 85%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Balance Materiales  : </w:t>
      </w:r>
      <w:r>
        <w:rPr>
          <w:rFonts w:ascii="Consolas" w:cs="Consolas" w:eastAsia="Consolas" w:hAnsi="Consolas"/>
          <w:color w:val="00B050"/>
          <w:sz w:val="20"/>
          <w:szCs w:val="20"/>
        </w:rPr>
        <w:t xml:space="preserve">████████████████████</w:t>
      </w:r>
      <w:r>
        <w:rPr>
          <w:rFonts w:ascii="Calibri" w:cs="Calibri" w:eastAsia="Calibri" w:hAnsi="Calibri"/>
          <w:b/>
          <w:bCs/>
          <w:color w:val="00B050"/>
          <w:sz w:val="20"/>
          <w:szCs w:val="20"/>
        </w:rPr>
        <w:t xml:space="preserve"> 100%</w:t>
      </w:r>
    </w:p>
    <w:p>
      <w:pPr>
        <w:spacing w:before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4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Semáforo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Tendencia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Prioridad del proyecto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FF0000"/>
                <w:sz w:val="18"/>
                <w:szCs w:val="18"/>
              </w:rPr>
              <w:t xml:space="preserve">●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Estable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Criticidad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FF0000"/>
                <w:sz w:val="18"/>
                <w:szCs w:val="18"/>
              </w:rPr>
              <w:t xml:space="preserve">●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Estable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Desvío programado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B050"/>
                <w:sz w:val="18"/>
                <w:szCs w:val="18"/>
              </w:rPr>
              <w:t xml:space="preserve">●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Positiva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Bloqueos abiertos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FF0000"/>
                <w:sz w:val="18"/>
                <w:szCs w:val="18"/>
              </w:rPr>
              <w:t xml:space="preserve">●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Atención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Documentos emitidos / total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 / 16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FFC000"/>
                <w:sz w:val="18"/>
                <w:szCs w:val="18"/>
              </w:rPr>
              <w:t xml:space="preserve">●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Avanzando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3. Cronograma por Disciplina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Fechas clave del proyecto según cronograma Rev.02 (reprogramación):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</w:t>
            </w:r>
          </w:p>
        </w:tc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Inicio de ingeniería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02/02/2026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Fin ingeniería Rev.0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03/07/2026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Inicio de obra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04/02/2026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Fecha PEM (cronograma)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22/04/2026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Vencido</w:t>
            </w:r>
          </w:p>
        </w:tc>
      </w:tr>
    </w:tbl>
    <w:p>
      <w:pPr>
        <w:spacing w:before="2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Avance por disciplina: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Disciplina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Avance</w:t>
            </w:r>
          </w:p>
        </w:tc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Relevamiento de campo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02/02/2026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04/02/2026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Electricidad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02/02/2026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24/04/2026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Ingeniería General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23/03/2026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07/05/2026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Civil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06/04/2026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05/05/2026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90%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curso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Piping / Cañerías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07/04/2026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12/05/2026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Procesos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27/04/2026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04/05/2026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Mecánica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01/07/2026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03/07/2026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85%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curso</w:t>
            </w:r>
          </w:p>
        </w:tc>
      </w:tr>
    </w:tbl>
    <w:p>
      <w:pPr>
        <w:spacing w:before="2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Diagrama de barras por disciplina (representación proporcional):</w:t>
      </w:r>
    </w:p>
    <w:p>
      <w:pPr>
        <w:spacing w:before="100"/>
      </w:pP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Relevamiento de campo   </w:t>
      </w:r>
      <w:r>
        <w:rPr>
          <w:rFonts w:ascii="Consolas" w:cs="Consolas" w:eastAsia="Consolas" w:hAnsi="Consolas"/>
          <w:color w:val="00B050"/>
          <w:sz w:val="16"/>
          <w:szCs w:val="16"/>
        </w:rPr>
        <w:t xml:space="preserve">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100%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Electricidad            </w:t>
      </w:r>
      <w:r>
        <w:rPr>
          <w:rFonts w:ascii="Consolas" w:cs="Consolas" w:eastAsia="Consolas" w:hAnsi="Consolas"/>
          <w:color w:val="00B050"/>
          <w:sz w:val="16"/>
          <w:szCs w:val="16"/>
        </w:rPr>
        <w:t xml:space="preserve">████████████████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100%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Ingeniería General      </w:t>
      </w:r>
      <w:r>
        <w:rPr>
          <w:rFonts w:ascii="Consolas" w:cs="Consolas" w:eastAsia="Consolas" w:hAnsi="Consolas"/>
          <w:color w:val="00B050"/>
          <w:sz w:val="16"/>
          <w:szCs w:val="16"/>
        </w:rPr>
        <w:t xml:space="preserve">          █████████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100%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Civil                   </w:t>
      </w:r>
      <w:r>
        <w:rPr>
          <w:rFonts w:ascii="Consolas" w:cs="Consolas" w:eastAsia="Consolas" w:hAnsi="Consolas"/>
          <w:color w:val="FFC000"/>
          <w:sz w:val="16"/>
          <w:szCs w:val="16"/>
        </w:rPr>
        <w:t xml:space="preserve">             ██████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90%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Piping / Cañerías       </w:t>
      </w:r>
      <w:r>
        <w:rPr>
          <w:rFonts w:ascii="Consolas" w:cs="Consolas" w:eastAsia="Consolas" w:hAnsi="Consolas"/>
          <w:color w:val="00B050"/>
          <w:sz w:val="16"/>
          <w:szCs w:val="16"/>
        </w:rPr>
        <w:t xml:space="preserve">             ███████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100%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Procesos                </w:t>
      </w:r>
      <w:r>
        <w:rPr>
          <w:rFonts w:ascii="Consolas" w:cs="Consolas" w:eastAsia="Consolas" w:hAnsi="Consolas"/>
          <w:color w:val="00B050"/>
          <w:sz w:val="16"/>
          <w:szCs w:val="16"/>
        </w:rPr>
        <w:t xml:space="preserve">                 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100%</w:t>
      </w:r>
    </w:p>
    <w:p>
      <w:pPr>
        <w:spacing w:after="30" w:before="30"/>
      </w:pPr>
      <w:r>
        <w:rPr>
          <w:rFonts w:ascii="Consolas" w:cs="Consolas" w:eastAsia="Consolas" w:hAnsi="Consolas"/>
          <w:sz w:val="16"/>
          <w:szCs w:val="16"/>
        </w:rPr>
        <w:t xml:space="preserve">Mecánica                </w:t>
      </w:r>
      <w:r>
        <w:rPr>
          <w:rFonts w:ascii="Consolas" w:cs="Consolas" w:eastAsia="Consolas" w:hAnsi="Consolas"/>
          <w:color w:val="FFC000"/>
          <w:sz w:val="16"/>
          <w:szCs w:val="16"/>
        </w:rPr>
        <w:t xml:space="preserve">                              █</w:t>
      </w:r>
      <w:r>
        <w:rPr>
          <w:rFonts w:ascii="Consolas" w:cs="Consolas" w:eastAsia="Consolas" w:hAnsi="Consolas"/>
          <w:b/>
          <w:bCs/>
          <w:sz w:val="16"/>
          <w:szCs w:val="16"/>
        </w:rPr>
        <w:t xml:space="preserve"> 85%</w:t>
      </w:r>
    </w:p>
    <w:p>
      <w:pPr>
        <w:spacing w:before="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</w:t>
      </w:r>
      <w:r>
        <w:rPr>
          <w:rFonts w:ascii="Consolas" w:cs="Consolas" w:eastAsia="Consolas" w:hAnsi="Consolas"/>
          <w:color w:val="999999"/>
          <w:sz w:val="14"/>
          <w:szCs w:val="14"/>
        </w:rPr>
        <w:t xml:space="preserve">Feb   Mar   Abr   May   Jun   Jul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4. Estado de Emisión de Documentos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Listado master de documentos del proyecto según LD Rev. OA (15/07/2026). Nomenclatura base: LACh-DUCGASLIFTPAD43-VCD25213.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Disciplina</w:t>
            </w:r>
          </w:p>
        </w:tc>
        <w:tc>
          <w:tcPr>
            <w:tcW w:type="pct" w:w="18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pct" w:w="32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pct" w:w="8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pct" w:w="14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General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G-LD-019001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Listado de Documentos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OA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15/07/2026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General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G-IF-019001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Informes Técnicos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General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G-MD-019001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Memoria Descriptiva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General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G-PL-019001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Plano de Interferencias - Geo Radar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13/05/2026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Procesos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R-PI-019001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Diagrama de Proceso P&amp;ID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OA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15/07/2026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Procesos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R-LT-019001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Listado de Tie Ins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P-LY-019001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Layout de Cañerías Zona 1 y 2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OA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15/07/2026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P-PL-019001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Planialtimetría Ducto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15/07/2026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P-IS-019001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Cuadernillo de Isométricos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P-TI-019001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Típico Cuello de Cisne Ducto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07/04/2026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P-TI-019002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Típico Zona Cauce Corte A-A y B-B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15/04/2026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Civil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C-PL-019001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Cuadernillo Bases para Soportes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15/04/2026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Civil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C-PL-019002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Muertos de Anclaje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07/04/2026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Civil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C-TI-019001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Típico Cruce de Camino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E0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07/04/2026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Mecánica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M-MC-019001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Memoria de Cálculo de Colectores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E&amp;I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I-MC-019001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MC Eléctrica / Instrumentación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-</w:t>
            </w:r>
          </w:p>
        </w:tc>
      </w:tr>
    </w:tbl>
    <w:p>
      <w:pPr>
        <w:spacing w:before="200"/>
      </w:pPr>
    </w:p>
    <w:tbl>
      <w:tblPr>
        <w:tblW w:type="pct" w:w="6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Resumen de Emisión</w:t>
            </w:r>
          </w:p>
        </w:tc>
        <w:tc>
          <w:tcPr>
            <w:tcW w:type="pct" w:w="4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Cantidad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Documentos emitidos (E0 / OA)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Documentos pendientes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6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Total documentos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16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5. Lista de Bloqueos y Definiciones Pendientes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 identifican los siguientes bloqueos y definiciones pendientes que impactan el cumplimiento de lo programado: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BLQ-01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Técnico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4B08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Discrepancia de espesores entre Memoria de Cálculo (7,14 mm) y Estudio de Riesgo Hídrico (6,02 mm). Mínimo de integridad mecánica: 5,40 mm.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Emisión de Consulta Técnica (TQ) formal para unificar criterio de pedido de materiales.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/ YPF</w:t>
            </w:r>
          </w:p>
        </w:tc>
        <w:tc>
          <w:tcPr>
            <w:gridSpan w:val="2"/>
            <w:shd w:fill="FFC7CE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Abierto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BLQ-02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Geodésico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FC7CE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Crítico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Desplazamiento de coordenadas entre Estudio Hidrológico y OMA de diseño: hasta 67 m en PRH 4. Riesgo de soterramiento fuera de cauce real.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Validación y corrección mediante hallazgos de cateos y geodetección.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Topografía / Campo</w:t>
            </w:r>
          </w:p>
        </w:tc>
        <w:tc>
          <w:tcPr>
            <w:gridSpan w:val="2"/>
            <w:shd w:fill="FFEB9C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 validación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BLQ-03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Documental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4B08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Inconsistencia de control de versiones: Memoria Técnica Rev.2 (externo) vs Rev.0 (interno). Nomenclatura dual ID1173 vs VCD25213/03.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Emitir nueva revisión unificada que vincule ambas nomenclaturas.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General</w:t>
            </w:r>
          </w:p>
        </w:tc>
        <w:tc>
          <w:tcPr>
            <w:gridSpan w:val="2"/>
            <w:shd w:fill="FFC7CE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Pendiente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BLQ-04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Técnico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4B08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Falta de análisis de estrés mecánico. Reportado como pendiente desde 15/06/2026.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Asignar ingeniería para análisis de estrés y completar cierre CAO.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Mecánica</w:t>
            </w:r>
          </w:p>
        </w:tc>
        <w:tc>
          <w:tcPr>
            <w:gridSpan w:val="2"/>
            <w:shd w:fill="FFC7CE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Pendiente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BLQ-05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Técnico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4B084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Omisión de PRH 5 y 6 en tablas de cálculo de erosión. Discrepancia de longitud: 177,34 m vs 117,34 m en soterramiento.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Integrar cálculos de socavación y resolver discrepancia vía TQ.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Civil / Hidrología</w:t>
            </w:r>
          </w:p>
        </w:tc>
        <w:tc>
          <w:tcPr>
            <w:gridSpan w:val="2"/>
            <w:shd w:fill="FFC7CE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Abierto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BLQ-06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Interferencia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FC7CE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Crítico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Ducto paralelo LOC-LAA-43 a CONSUR3 con datos de localización aproximados. Máxima criticidad en tramo norte.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Cateos manuales cada 70 m y restricción de maquinaria pesada (sin retro 320/416).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Supervisión de Campo</w:t>
            </w:r>
          </w:p>
        </w:tc>
        <w:tc>
          <w:tcPr>
            <w:gridSpan w:val="2"/>
            <w:shd w:fill="FFEB9C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 ejecución</w:t>
            </w:r>
          </w:p>
        </w:tc>
      </w:tr>
    </w:tbl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BLQ-07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Documental</w:t>
            </w:r>
          </w:p>
        </w:tc>
        <w:tc>
          <w:tcPr>
            <w:tcW w:type="pct" w:w="50%"/>
            <w:shd w:fill="1F4E79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Impacto: </w:t>
            </w:r>
          </w:p>
        </w:tc>
        <w:tc>
          <w:tcPr>
            <w:tcW w:type="pct" w:w="25%"/>
            <w:shd w:fill="FFEB9C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Medio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Descripción: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Pendientes civiles en Data Book (90% completado). Falta cierre de documentación civil para entrega completa DB+CAO.</w:t>
            </w:r>
          </w:p>
        </w:tc>
      </w:tr>
      <w:tr>
        <w:tc>
          <w:tcPr>
            <w:gridSpan w:val="4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Acción requerida: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Completar documentación civil pendiente. Entrega comprometida: 24/07/2026.</w:t>
            </w:r>
          </w:p>
        </w:tc>
      </w:tr>
      <w:tr>
        <w:tc>
          <w:tcPr>
            <w:gridSpan w:val="2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Responsable: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Civil / Calidad</w:t>
            </w:r>
          </w:p>
        </w:tc>
        <w:tc>
          <w:tcPr>
            <w:gridSpan w:val="2"/>
            <w:shd w:fill="FFEB9C" w:val="clea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 proceso</w:t>
            </w:r>
          </w:p>
        </w:tc>
      </w:tr>
    </w:tbl>
    <w:p>
      <w:pPr>
        <w:spacing w:after="100" w:before="10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6. Plan de Acciones para Cumplimiento de lo Programado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Acciones requeridas para alcanzar el cierre integral del proyecto y la entrega de DB + CAO: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3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pct" w:w="12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 Límite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Emisión de TQ de espesores (7,14 mm vs 6,02 mm)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Urgente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Inmediato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Ingeniería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Validación de coordenadas PRH mediante cateos y geodetección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Urgente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Previo a zanjeo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Topografía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validación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Resolución discrepancia longitud soterramientos PRH 5-6 (177m vs 117m)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Urgente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Inmediato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Ingeniería Civil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Unificación de nomenclatura documental (ID1173 ↔ VCD25213/03)</w:t>
            </w:r>
          </w:p>
        </w:tc>
        <w:tc>
          <w:tcPr>
            <w:shd w:fill="F4B08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Próxima revisión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Ingeniería Gral.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Completar análisis de estrés mecánico</w:t>
            </w:r>
          </w:p>
        </w:tc>
        <w:tc>
          <w:tcPr>
            <w:shd w:fill="F4B08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15/09/2026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Ing. Mecánica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Completar documentación civil pendiente en Data Book</w:t>
            </w:r>
          </w:p>
        </w:tc>
        <w:tc>
          <w:tcPr>
            <w:shd w:fill="F4B08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30/09/2026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Ing. Civil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proceso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Cierre CAO integral (actualmente 85%)</w:t>
            </w:r>
          </w:p>
        </w:tc>
        <w:tc>
          <w:tcPr>
            <w:shd w:fill="F4B084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Alta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15/10/2026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Calidad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En proceso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Emisión de isométricos 'Aptos para Construcción' post-TQ espesores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Media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Post TQ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Cañerías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Bloqueado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Carga completa Data Book en Documentum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Media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30/10/2026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Calidad / Doc. Control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Asistencia a PEM y Comisionado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Media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Según cronograma</w:t>
            </w:r>
          </w:p>
        </w:tc>
        <w:tc>
          <w:tcPr>
            <w:shd w:fill="D6E4F0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Equipo proyecto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Programado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7. Diagrama de Avance y Gráficas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Representación visual del avance del proyecto por indicador:</w:t>
      </w:r>
    </w:p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7.1 Avance por Indicador</w:t>
      </w:r>
    </w:p>
    <w:p>
      <w:pPr>
        <w:spacing w:after="80" w:before="80"/>
      </w:pPr>
      <w:r>
        <w:rPr>
          <w:rFonts w:ascii="Consolas" w:cs="Consolas" w:eastAsia="Consolas" w:hAnsi="Consolas"/>
          <w:b/>
          <w:bCs/>
          <w:sz w:val="18"/>
          <w:szCs w:val="18"/>
        </w:rPr>
        <w:t xml:space="preserve">Ingeniería Detalle       </w:t>
      </w:r>
      <w:r>
        <w:rPr>
          <w:rFonts w:ascii="Consolas" w:cs="Consolas" w:eastAsia="Consolas" w:hAnsi="Consolas"/>
          <w:color w:val="FFC000"/>
          <w:sz w:val="18"/>
          <w:szCs w:val="18"/>
        </w:rPr>
        <w:t xml:space="preserve">██████████████████████████████████░░░░░░</w:t>
      </w:r>
      <w:r>
        <w:rPr>
          <w:rFonts w:ascii="Consolas" w:cs="Consolas" w:eastAsia="Consolas" w:hAnsi="Consolas"/>
          <w:b/>
          <w:bCs/>
          <w:color w:val="FFC000"/>
          <w:sz w:val="18"/>
          <w:szCs w:val="18"/>
        </w:rPr>
        <w:t xml:space="preserve"> 85%</w:t>
      </w:r>
    </w:p>
    <w:p>
      <w:pPr>
        <w:spacing w:after="80" w:before="80"/>
      </w:pPr>
      <w:r>
        <w:rPr>
          <w:rFonts w:ascii="Consolas" w:cs="Consolas" w:eastAsia="Consolas" w:hAnsi="Consolas"/>
          <w:b/>
          <w:bCs/>
          <w:sz w:val="18"/>
          <w:szCs w:val="18"/>
        </w:rPr>
        <w:t xml:space="preserve">Data Book                </w:t>
      </w:r>
      <w:r>
        <w:rPr>
          <w:rFonts w:ascii="Consolas" w:cs="Consolas" w:eastAsia="Consolas" w:hAnsi="Consolas"/>
          <w:color w:val="FFC000"/>
          <w:sz w:val="18"/>
          <w:szCs w:val="18"/>
        </w:rPr>
        <w:t xml:space="preserve">████████████████████████████████████░░░░</w:t>
      </w:r>
      <w:r>
        <w:rPr>
          <w:rFonts w:ascii="Consolas" w:cs="Consolas" w:eastAsia="Consolas" w:hAnsi="Consolas"/>
          <w:b/>
          <w:bCs/>
          <w:color w:val="FFC000"/>
          <w:sz w:val="18"/>
          <w:szCs w:val="18"/>
        </w:rPr>
        <w:t xml:space="preserve"> 90%</w:t>
      </w:r>
    </w:p>
    <w:p>
      <w:pPr>
        <w:spacing w:after="80" w:before="80"/>
      </w:pPr>
      <w:r>
        <w:rPr>
          <w:rFonts w:ascii="Consolas" w:cs="Consolas" w:eastAsia="Consolas" w:hAnsi="Consolas"/>
          <w:b/>
          <w:bCs/>
          <w:sz w:val="18"/>
          <w:szCs w:val="18"/>
        </w:rPr>
        <w:t xml:space="preserve">CAO                      </w:t>
      </w:r>
      <w:r>
        <w:rPr>
          <w:rFonts w:ascii="Consolas" w:cs="Consolas" w:eastAsia="Consolas" w:hAnsi="Consolas"/>
          <w:color w:val="FFC000"/>
          <w:sz w:val="18"/>
          <w:szCs w:val="18"/>
        </w:rPr>
        <w:t xml:space="preserve">██████████████████████████████████░░░░░░</w:t>
      </w:r>
      <w:r>
        <w:rPr>
          <w:rFonts w:ascii="Consolas" w:cs="Consolas" w:eastAsia="Consolas" w:hAnsi="Consolas"/>
          <w:b/>
          <w:bCs/>
          <w:color w:val="FFC000"/>
          <w:sz w:val="18"/>
          <w:szCs w:val="18"/>
        </w:rPr>
        <w:t xml:space="preserve"> 85%</w:t>
      </w:r>
    </w:p>
    <w:p>
      <w:pPr>
        <w:spacing w:after="80" w:before="80"/>
      </w:pPr>
      <w:r>
        <w:rPr>
          <w:rFonts w:ascii="Consolas" w:cs="Consolas" w:eastAsia="Consolas" w:hAnsi="Consolas"/>
          <w:b/>
          <w:bCs/>
          <w:sz w:val="18"/>
          <w:szCs w:val="18"/>
        </w:rPr>
        <w:t xml:space="preserve">Balance de Materiales    </w:t>
      </w:r>
      <w:r>
        <w:rPr>
          <w:rFonts w:ascii="Consolas" w:cs="Consolas" w:eastAsia="Consolas" w:hAnsi="Consolas"/>
          <w:color w:val="00B050"/>
          <w:sz w:val="18"/>
          <w:szCs w:val="18"/>
        </w:rPr>
        <w:t xml:space="preserve">████████████████████████████████████████</w:t>
      </w:r>
      <w:r>
        <w:rPr>
          <w:rFonts w:ascii="Consolas" w:cs="Consolas" w:eastAsia="Consolas" w:hAnsi="Consolas"/>
          <w:b/>
          <w:bCs/>
          <w:color w:val="00B050"/>
          <w:sz w:val="18"/>
          <w:szCs w:val="18"/>
        </w:rPr>
        <w:t xml:space="preserve"> 100%</w:t>
      </w:r>
    </w:p>
    <w:p>
      <w:pPr>
        <w:spacing w:before="3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7.2 Distribución de Documentos por Estado</w:t>
      </w:r>
    </w:p>
    <w:p>
      <w:pPr>
        <w:spacing w:before="100"/>
      </w:pP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Cantidad</w:t>
            </w:r>
          </w:p>
        </w:tc>
        <w:tc>
          <w:tcPr>
            <w:tcW w:type="pct" w:w="20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Porcentaje</w:t>
            </w:r>
          </w:p>
        </w:tc>
        <w:tc>
          <w:tcPr>
            <w:tcW w:type="pct" w:w="3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Representación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Emitido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63%</w:t>
            </w:r>
          </w:p>
        </w:tc>
        <w:tc>
          <w:tcPr>
            <w:shd w:fill="C6EFCE" w:val="clea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█████████████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Pendiente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38%</w:t>
            </w:r>
          </w:p>
        </w:tc>
        <w:tc>
          <w:tcPr>
            <w:shd w:fill="FFC7CE" w:val="clea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████████</w:t>
            </w:r>
          </w:p>
        </w:tc>
      </w:tr>
    </w:tbl>
    <w:p>
      <w:pPr>
        <w:spacing w:before="3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7.3 Mapa de Riesgo - Bloqueos por Impacto</w:t>
      </w: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 de Impacto</w:t>
            </w:r>
          </w:p>
        </w:tc>
        <w:tc>
          <w:tcPr>
            <w:tcW w:type="pct" w:w="1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Cantidad</w:t>
            </w:r>
          </w:p>
        </w:tc>
        <w:tc>
          <w:tcPr>
            <w:tcW w:type="pct" w:w="2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IDs</w:t>
            </w:r>
          </w:p>
        </w:tc>
        <w:tc>
          <w:tcPr>
            <w:tcW w:type="pct" w:w="35%"/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</w:tr>
      <w:tr>
        <w:tc>
          <w:tcPr>
            <w:shd w:fill="FFC7CE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Crítico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BLQ-02, BLQ-06</w:t>
            </w:r>
          </w:p>
        </w:tc>
        <w:tc>
          <w:tcPr>
            <w:shd w:fill="FFC7CE" w:val="clea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▓▓▓▓▓▓▓▓</w:t>
            </w:r>
          </w:p>
        </w:tc>
      </w:tr>
      <w:tr>
        <w:tc>
          <w:tcPr>
            <w:shd w:fill="F4B084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Alto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BLQ-01, BLQ-03, BLQ-04, BLQ-05</w:t>
            </w:r>
          </w:p>
        </w:tc>
        <w:tc>
          <w:tcPr>
            <w:shd w:fill="F4B084" w:val="clea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▓▓▓▓▓▓▓▓▓▓▓▓▓▓▓▓</w:t>
            </w:r>
          </w:p>
        </w:tc>
      </w:tr>
      <w:tr>
        <w:tc>
          <w:tcPr>
            <w:shd w:fill="FFEB9C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Medio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BLQ-07</w:t>
            </w:r>
          </w:p>
        </w:tc>
        <w:tc>
          <w:tcPr>
            <w:shd w:fill="FFEB9C" w:val="clear"/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▓▓▓▓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8. Discrepancias Técnicas Críticas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 resumen las discrepancias técnicas identificadas en la auditoría de ingeniería básica que condicionan la ejecución segura del proyecto:</w:t>
      </w:r>
    </w:p>
    <w:p>
      <w:pPr>
        <w:spacing w:before="1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8.1 Discrepancia de Espesores de Ducto</w:t>
      </w: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Espesor (mm)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Memoria de Cálculo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7,14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Valor de diseño adoptado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Estudio de Riesgo Hídrico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6,02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Valor resultante del ERH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Mínimo integridad mecánica</w:t>
            </w:r>
          </w:p>
        </w:tc>
        <w:tc>
          <w:tcPr>
            <w:shd w:fill="C6EFCE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5,40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Ambos superan el mínimo</w:t>
            </w:r>
          </w:p>
        </w:tc>
      </w:tr>
    </w:tbl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Acción: Emisión de TQ formal para unificar criterio antes de emitir isométricos 'Aptos para Construcción'.</w:t>
      </w:r>
    </w:p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8.2 Desplazamientos de Coordenadas PRH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Coord. Hidrológica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Coord. OMA (Diseño)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Desplazamiento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PRH 1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Y: 2.531.519,50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Y: 2.531.560,12</w:t>
            </w:r>
          </w:p>
        </w:tc>
        <w:tc>
          <w:tcPr>
            <w:shd w:fill="F4B084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~40,6 m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Exposición lateral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PRH 1 bis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X: 5.764.306,64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X: 5.764.317,20</w:t>
            </w:r>
          </w:p>
        </w:tc>
        <w:tc>
          <w:tcPr>
            <w:shd w:fill="FFEB9C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~10,6 m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Desalineación con canal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PRH 4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Y: 2.531.989,76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Y: 2.531.983,25</w:t>
            </w:r>
          </w:p>
        </w:tc>
        <w:tc>
          <w:tcPr>
            <w:shd w:fill="FFC7CE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8"/>
                <w:szCs w:val="18"/>
              </w:rPr>
              <w:t xml:space="preserve">~67 m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CRÍTICO - Fuera de cauce</w:t>
            </w:r>
          </w:p>
        </w:tc>
      </w:tr>
    </w:tbl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Diagnóstico: un desplazamiento de 40 a 67 m implica soterramiento fuera del cauce real, con riesgo de socavación lateral y esfuerzos mecánicos por arrastre de sedimentos durante evento TR100.</w:t>
      </w:r>
    </w:p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8.3 Inconsistencias de Control de Versiones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Memoria Técnica: identificada externamente como Rev. 2 pero internamente como Rev. 0.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Nomenclatura dual: ID1173 (referencia ERH) vs VCD25213/03 (referencia MT).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Riesgo: invalidación de registros END/NDT y pruebas hidráulicas en futuras auditorías de integridad.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9. Conclusiones y Próximos Pasos</w:t>
      </w:r>
    </w:p>
    <w:p>
      <w:pPr>
        <w:pBdr>
          <w:bottom w:val="single" w:color="1F4E79" w:sz="6"/>
        </w:pBdr>
        <w:spacing w:after="100" w:before="100"/>
      </w:pPr>
    </w:p>
    <w:p>
      <w:pPr>
        <w:spacing w:after="6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 proyecto VCD25213 - Gas Lift PAD LAA-43 se encuentra en una etapa avanzada de cierre de ingeniería (85%) y documentación CAO (85%), con entrega integral de DB+CAO comprometida. Sin embargo, existen bloqueos técnicos y documentales que requieren resolución inmediata para garantizar la integridad del ducto y la validez del paquete de entrega.</w:t>
      </w:r>
    </w:p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Acciones Prioritarias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Resolver discrepancia de espesores (7,14 mm vs 6,02 mm) mediante TQ formal - Precondición para isométricos ApC.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Validar coordenadas PRH en campo (desplazamiento de hasta 67 m en PRH 4) - Impacto crítico en soterramiento.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Completar análisis de estrés mecánico - Pendiente desde 15/06/2026.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Cerrar documentación civil pendiente en Data Book (actualmente 90%).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Unificar nomenclatura documental ID1173 ↔ VCD25213/03 en próxima revisión.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Resolver discrepancia longitud soterramiento PRH 5-6 (177,34 m vs 117,34 m).</w:t>
      </w:r>
    </w:p>
    <w:p>
      <w:pPr>
        <w:spacing w:before="20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Próximos Hitos</w:t>
      </w: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shd w:fill="1F4E79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Cierre análisis de estrés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15/09/2026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Ing. Mecánica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Cierre documentación civil DB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30/09/2026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Ing. Civil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Cierre CAO integral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15/10/2026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Calidad</w:t>
            </w:r>
          </w:p>
        </w:tc>
      </w:tr>
      <w:tr>
        <w:tc>
          <w:tcPr>
            <w:shd w:fill="FFFFFF" w:val="clear"/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Carga DB en Documentum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30/10/2026</w:t>
            </w:r>
          </w:p>
        </w:tc>
        <w:tc>
          <w:tcPr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404040"/>
                <w:sz w:val="18"/>
                <w:szCs w:val="18"/>
              </w:rPr>
              <w:t xml:space="preserve">Doc. Control</w:t>
            </w:r>
          </w:p>
        </w:tc>
      </w:tr>
    </w:tbl>
    <w:p>
      <w:pPr>
        <w:spacing w:before="300"/>
      </w:pPr>
    </w:p>
    <w:p>
      <w:pPr>
        <w:pBdr>
          <w:bottom w:val="single" w:color="1F4E79" w:sz="6"/>
        </w:pBdr>
        <w:spacing w:after="100" w:before="10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Fin del Informe</w:t>
      </w:r>
    </w:p>
    <w:p>
      <w:pPr>
        <w:spacing w:before="1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Emitido por: CODESIN SA — 07/09/2026</w:t>
      </w:r>
    </w:p>
    <w:sectPr>
      <w:headerReference w:type="default" r:id="rId7"/>
      <w:footerReference w:type="default" r:id="rId8"/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Pág.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99999"/>
        <w:sz w:val="16"/>
        <w:szCs w:val="16"/>
      </w:rPr>
      <w:t xml:space="preserve"> de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03366"/>
        <w:sz w:val="16"/>
        <w:szCs w:val="16"/>
      </w:rPr>
      <w:t xml:space="preserve">CODESIN SA</w:t>
    </w:r>
    <w:r>
      <w:rPr>
        <w:rFonts w:ascii="Calibri" w:cs="Calibri" w:eastAsia="Calibri" w:hAnsi="Calibri"/>
        <w:color w:val="999999"/>
        <w:sz w:val="16"/>
        <w:szCs w:val="16"/>
      </w:rPr>
      <w:t xml:space="preserve">  |  </w:t>
    </w:r>
    <w:r>
      <w:rPr>
        <w:rFonts w:ascii="Calibri" w:cs="Calibri" w:eastAsia="Calibri" w:hAnsi="Calibri"/>
        <w:color w:val="666666"/>
        <w:sz w:val="16"/>
        <w:szCs w:val="16"/>
      </w:rPr>
      <w:t xml:space="preserve">VCD25213 - Gas Lift PAD LAA-43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Ingeniería VCD25213 - Gas Lift PAD LAA-43</dc:title>
  <dc:creator>CODESIN SA</dc:creator>
  <dc:description>Informe de estado de ingeniería, KPIs, plan de acciones y bloqueos</dc:description>
  <cp:lastModifiedBy>Un-named</cp:lastModifiedBy>
  <cp:revision>1</cp:revision>
  <dcterms:created xsi:type="dcterms:W3CDTF">2026-09-07T09:03:32.624Z</dcterms:created>
  <dcterms:modified xsi:type="dcterms:W3CDTF">2026-09-07T09:03:32.633Z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