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40"/>
          <w:szCs w:val="40"/>
        </w:rPr>
        <w:t xml:space="preserve">CODESIN SA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INFORME DE INGENIERÍA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Estatus, KPIs, Plan de Acciones y Bloqueos</w:t>
      </w:r>
    </w:p>
    <w:p>
      <w:pPr>
        <w:pBdr>
          <w:bottom w:val="single" w:color="1F4E79" w:sz="6"/>
        </w:pBdr>
        <w:spacing w:after="100" w:before="100"/>
      </w:pP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Proyecto:</w:t>
            </w:r>
          </w:p>
        </w:tc>
        <w:tc>
          <w:tcPr>
            <w:tcW w:type="pct" w:w="7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Gas Lift PAD LAA-43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Código YPF: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VCD25213 / Obra 05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Descripción: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Línea de gas lift de 4" entre Colector PTC2 LACH y PAD LAA-43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Yacimiento: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LACH (No Convencional)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Nomenclatura: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LACh-DUCGASLIFTPAD43-VCD25213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Contratista: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CODESIN SA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Cliente: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YPF S.A.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Fecha de informe: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07/09/2026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Responsable: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D.M.</w:t>
            </w:r>
          </w:p>
        </w:tc>
      </w:tr>
    </w:tbl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DOCUMENTO CONFIDENCIAL - USO INTERNO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ÍNDICE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1. Estatus de Ingeniería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2. KPIs del Proyecto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3. Cronograma por Disciplina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4. Estado de Emisión de Documentos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5. Lista de Bloqueos y Definiciones Pendientes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6. Plan de Acciones para Cumplimiento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7. Diagrama de Avance y Gráficas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8. Discrepancias Técnicas Críticas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9. Conclusiones y Próximos Pasos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1. Estatus de Ingeniería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El proyecto VCD25213 - Gas Lift PAD LAA-43 se encuentra en fase de cierre de ingeniería de detalle con documentación CAO al 85%. Se reportan pendientes civiles y análisis de estrés mecánico que condicionan la entrega integral del Data Book.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2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Avance Ingeniería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85%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curso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Data Book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90%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Pendientes C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CAO (Conforme a Obra)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85%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Balance de Materiales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Desvío de Avance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0%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Sin desvío</w:t>
            </w:r>
          </w:p>
        </w:tc>
      </w:tr>
    </w:tbl>
    <w:p>
      <w:pPr>
        <w:spacing w:before="2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Fuente de datos: Status Planning 02/07/2026, actualización de Planificación (J. L. Dimarco). Última revisión de la Matriz Maestra: Rev. 4.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2. KPIs del Proyecto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Indicadores clave de rendimiento al corte del presente informe:</w:t>
      </w:r>
    </w:p>
    <w:p>
      <w:pPr>
        <w:spacing w:before="2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Ingeniería Detalle  : </w:t>
      </w:r>
      <w:r>
        <w:rPr>
          <w:rFonts w:ascii="Consolas" w:cs="Consolas" w:eastAsia="Consolas" w:hAnsi="Consolas"/>
          <w:color w:val="FFC000"/>
          <w:sz w:val="20"/>
          <w:szCs w:val="20"/>
        </w:rPr>
        <w:t xml:space="preserve">█████████████████░░░</w:t>
      </w:r>
      <w:r>
        <w:rPr>
          <w:rFonts w:ascii="Calibri" w:cs="Calibri" w:eastAsia="Calibri" w:hAnsi="Calibri"/>
          <w:b/>
          <w:bCs/>
          <w:color w:val="FFC000"/>
          <w:sz w:val="20"/>
          <w:szCs w:val="20"/>
        </w:rPr>
        <w:t xml:space="preserve"> 85%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Book           : </w:t>
      </w:r>
      <w:r>
        <w:rPr>
          <w:rFonts w:ascii="Consolas" w:cs="Consolas" w:eastAsia="Consolas" w:hAnsi="Consolas"/>
          <w:color w:val="00B050"/>
          <w:sz w:val="20"/>
          <w:szCs w:val="20"/>
        </w:rPr>
        <w:t xml:space="preserve">██████████████████░░</w:t>
      </w:r>
      <w:r>
        <w:rPr>
          <w:rFonts w:ascii="Calibri" w:cs="Calibri" w:eastAsia="Calibri" w:hAnsi="Calibri"/>
          <w:b/>
          <w:bCs/>
          <w:color w:val="00B050"/>
          <w:sz w:val="20"/>
          <w:szCs w:val="20"/>
        </w:rPr>
        <w:t xml:space="preserve"> 90%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CAO                 : </w:t>
      </w:r>
      <w:r>
        <w:rPr>
          <w:rFonts w:ascii="Consolas" w:cs="Consolas" w:eastAsia="Consolas" w:hAnsi="Consolas"/>
          <w:color w:val="FFC000"/>
          <w:sz w:val="20"/>
          <w:szCs w:val="20"/>
        </w:rPr>
        <w:t xml:space="preserve">█████████████████░░░</w:t>
      </w:r>
      <w:r>
        <w:rPr>
          <w:rFonts w:ascii="Calibri" w:cs="Calibri" w:eastAsia="Calibri" w:hAnsi="Calibri"/>
          <w:b/>
          <w:bCs/>
          <w:color w:val="FFC000"/>
          <w:sz w:val="20"/>
          <w:szCs w:val="20"/>
        </w:rPr>
        <w:t xml:space="preserve"> 85%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Balance Materiales  : </w:t>
      </w:r>
      <w:r>
        <w:rPr>
          <w:rFonts w:ascii="Consolas" w:cs="Consolas" w:eastAsia="Consolas" w:hAnsi="Consolas"/>
          <w:color w:val="00B050"/>
          <w:sz w:val="20"/>
          <w:szCs w:val="20"/>
        </w:rPr>
        <w:t xml:space="preserve">████████████████████</w:t>
      </w:r>
      <w:r>
        <w:rPr>
          <w:rFonts w:ascii="Calibri" w:cs="Calibri" w:eastAsia="Calibri" w:hAnsi="Calibri"/>
          <w:b/>
          <w:bCs/>
          <w:color w:val="00B050"/>
          <w:sz w:val="20"/>
          <w:szCs w:val="20"/>
        </w:rPr>
        <w:t xml:space="preserve"> 100%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Tendencia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Prioridad del proyecto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Alta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18"/>
                <w:szCs w:val="18"/>
              </w:rPr>
              <w:t xml:space="preserve">●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Estable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Criticidad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Alta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18"/>
                <w:szCs w:val="18"/>
              </w:rPr>
              <w:t xml:space="preserve">●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Estable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Desvío programado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B050"/>
                <w:sz w:val="18"/>
                <w:szCs w:val="18"/>
              </w:rPr>
              <w:t xml:space="preserve">●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Bloqueos abiertos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18"/>
                <w:szCs w:val="18"/>
              </w:rPr>
              <w:t xml:space="preserve">●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Atención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Documentos emitidos / total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 / 16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C000"/>
                <w:sz w:val="18"/>
                <w:szCs w:val="18"/>
              </w:rPr>
              <w:t xml:space="preserve">●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Avanzando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3. Cronograma por Disciplina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Fechas clave del proyecto según cronograma Rev.02 (reprogramación):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pct" w:w="2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pct" w:w="2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Inicio de ingeniería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02/02/2026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Fin ingeniería Rev.0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03/07/2026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Inicio de obra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04/02/2026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Fecha PEM (cronograma)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22/04/2026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Vencido</w:t>
            </w:r>
          </w:p>
        </w:tc>
      </w:tr>
    </w:tbl>
    <w:p>
      <w:pPr>
        <w:spacing w:before="2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Avance por disciplina: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Disciplina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pct" w:w="2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Relevamiento de campo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02/02/2026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04/02/2026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Electricidad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02/02/2026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24/04/2026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Ingeniería General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23/03/2026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07/05/2026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Civil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06/04/2026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05/05/2026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90%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curso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Piping / Cañerías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07/04/2026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12/05/2026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Procesos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27/04/2026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04/05/2026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Mecánica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01/07/2026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03/07/2026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85%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curso</w:t>
            </w:r>
          </w:p>
        </w:tc>
      </w:tr>
    </w:tbl>
    <w:p>
      <w:pPr>
        <w:spacing w:before="2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Diagrama de barras por disciplina (representación proporcional):</w:t>
      </w:r>
    </w:p>
    <w:p>
      <w:pPr>
        <w:spacing w:before="100"/>
      </w:pP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Relevamiento de campo   </w:t>
      </w:r>
      <w:r>
        <w:rPr>
          <w:rFonts w:ascii="Consolas" w:cs="Consolas" w:eastAsia="Consolas" w:hAnsi="Consolas"/>
          <w:color w:val="00B050"/>
          <w:sz w:val="16"/>
          <w:szCs w:val="16"/>
        </w:rPr>
        <w:t xml:space="preserve">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100%</w:t>
      </w: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Electricidad            </w:t>
      </w:r>
      <w:r>
        <w:rPr>
          <w:rFonts w:ascii="Consolas" w:cs="Consolas" w:eastAsia="Consolas" w:hAnsi="Consolas"/>
          <w:color w:val="00B050"/>
          <w:sz w:val="16"/>
          <w:szCs w:val="16"/>
        </w:rPr>
        <w:t xml:space="preserve">████████████████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100%</w:t>
      </w: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Ingeniería General      </w:t>
      </w:r>
      <w:r>
        <w:rPr>
          <w:rFonts w:ascii="Consolas" w:cs="Consolas" w:eastAsia="Consolas" w:hAnsi="Consolas"/>
          <w:color w:val="00B050"/>
          <w:sz w:val="16"/>
          <w:szCs w:val="16"/>
        </w:rPr>
        <w:t xml:space="preserve">          █████████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100%</w:t>
      </w: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Civil                   </w:t>
      </w:r>
      <w:r>
        <w:rPr>
          <w:rFonts w:ascii="Consolas" w:cs="Consolas" w:eastAsia="Consolas" w:hAnsi="Consolas"/>
          <w:color w:val="FFC000"/>
          <w:sz w:val="16"/>
          <w:szCs w:val="16"/>
        </w:rPr>
        <w:t xml:space="preserve">             ██████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90%</w:t>
      </w: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Piping / Cañerías       </w:t>
      </w:r>
      <w:r>
        <w:rPr>
          <w:rFonts w:ascii="Consolas" w:cs="Consolas" w:eastAsia="Consolas" w:hAnsi="Consolas"/>
          <w:color w:val="00B050"/>
          <w:sz w:val="16"/>
          <w:szCs w:val="16"/>
        </w:rPr>
        <w:t xml:space="preserve">             ███████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100%</w:t>
      </w: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Procesos                </w:t>
      </w:r>
      <w:r>
        <w:rPr>
          <w:rFonts w:ascii="Consolas" w:cs="Consolas" w:eastAsia="Consolas" w:hAnsi="Consolas"/>
          <w:color w:val="00B050"/>
          <w:sz w:val="16"/>
          <w:szCs w:val="16"/>
        </w:rPr>
        <w:t xml:space="preserve">                 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100%</w:t>
      </w:r>
    </w:p>
    <w:p>
      <w:pPr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Mecánica                </w:t>
      </w:r>
      <w:r>
        <w:rPr>
          <w:rFonts w:ascii="Consolas" w:cs="Consolas" w:eastAsia="Consolas" w:hAnsi="Consolas"/>
          <w:color w:val="FFC000"/>
          <w:sz w:val="16"/>
          <w:szCs w:val="16"/>
        </w:rPr>
        <w:t xml:space="preserve">                              █</w:t>
      </w:r>
      <w:r>
        <w:rPr>
          <w:rFonts w:ascii="Consolas" w:cs="Consolas" w:eastAsia="Consolas" w:hAnsi="Consolas"/>
          <w:b/>
          <w:bCs/>
          <w:sz w:val="16"/>
          <w:szCs w:val="16"/>
        </w:rPr>
        <w:t xml:space="preserve"> 85%</w:t>
      </w:r>
    </w:p>
    <w:p>
      <w:pPr>
        <w:spacing w:before="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999999"/>
          <w:sz w:val="14"/>
          <w:szCs w:val="14"/>
        </w:rPr>
        <w:t xml:space="preserve">Feb   Mar   Abr   May   Jun   Jul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4. Estado de Emisión de Documentos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Listado master de documentos del proyecto según LD Rev. OA (15/07/2026). Nomenclatura base: LACh-DUCGASLIFTPAD43-VCD25213.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Disciplina</w:t>
            </w:r>
          </w:p>
        </w:tc>
        <w:tc>
          <w:tcPr>
            <w:tcW w:type="pct" w:w="18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pct" w:w="32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8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pct" w:w="14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G-LD-019001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Listado de Documentos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OA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G-IF-019001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Informes Técnicos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G-MD-019001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Memoria Descriptiva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G-PL-019001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Plano de Interferencias - Geo Radar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13/05/2026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Procesos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R-PI-019001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Diagrama de Proceso P&amp;ID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OA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Procesos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R-LT-019001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Listado de Tie Ins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Cañerías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P-LY-019001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Layout de Cañerías Zona 1 y 2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OA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Cañerías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P-PL-019001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Planialtimetría Ducto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Cañerías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P-IS-019001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Cuadernillo de Isométricos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Cañerías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P-TI-019001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Típico Cuello de Cisne Ducto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07/04/2026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Cañerías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P-TI-019002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Típico Zona Cauce Corte A-A y B-B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15/04/2026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Civil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C-PL-019001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Cuadernillo Bases para Soportes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15/04/2026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Civil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C-PL-019002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Muertos de Anclaje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07/04/2026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Civil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C-TI-019001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Típico Cruce de Camino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E0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07/04/2026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Mecánica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M-MC-019001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Memoria de Cálculo de Colectores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E&amp;I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I-MC-019001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MC Eléctrica / Instrumentación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2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Resumen de Emisión</w:t>
            </w:r>
          </w:p>
        </w:tc>
        <w:tc>
          <w:tcPr>
            <w:tcW w:type="pct" w:w="4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Documentos emitidos (E0 / OA)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Documentos pendientes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6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Total documentos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5. Lista de Bloqueos y Definiciones Pendientes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 identifican los siguientes bloqueos y definiciones pendientes que impactan el cumplimiento de lo programado: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BLQ-01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Técnico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4B08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Discrepancia de espesores entre Memoria de Cálculo (7,14 mm) y Estudio de Riesgo Hídrico (6,02 mm). Mínimo de integridad mecánica: 5,40 mm.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Emisión de Consulta Técnica (TQ) formal para unificar criterio de pedido de materiales.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/ YPF</w:t>
            </w:r>
          </w:p>
        </w:tc>
        <w:tc>
          <w:tcPr>
            <w:gridSpan w:val="2"/>
            <w:shd w:fill="FFC7CE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Abierto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BLQ-02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Geodésico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FC7C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Desplazamiento de coordenadas entre Estudio Hidrológico y OMA de diseño: hasta 67 m en PRH 4. Riesgo de soterramiento fuera de cauce real.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Validación y corrección mediante hallazgos de cateos y geodetección.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Topografía / Campo</w:t>
            </w:r>
          </w:p>
        </w:tc>
        <w:tc>
          <w:tcPr>
            <w:gridSpan w:val="2"/>
            <w:shd w:fill="FFEB9C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validación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BLQ-03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Documental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4B08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Inconsistencia de control de versiones: Memoria Técnica Rev.2 (externo) vs Rev.0 (interno). Nomenclatura dual ID1173 vs VCD25213/03.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Emitir nueva revisión unificada que vincule ambas nomenclaturas.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General</w:t>
            </w:r>
          </w:p>
        </w:tc>
        <w:tc>
          <w:tcPr>
            <w:gridSpan w:val="2"/>
            <w:shd w:fill="FFC7CE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BLQ-04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Técnico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4B08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Falta de análisis de estrés mecánico. Reportado como pendiente desde 15/06/2026.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Asignar ingeniería para análisis de estrés y completar cierre CAO.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Mecánica</w:t>
            </w:r>
          </w:p>
        </w:tc>
        <w:tc>
          <w:tcPr>
            <w:gridSpan w:val="2"/>
            <w:shd w:fill="FFC7CE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BLQ-05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Técnico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4B08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Omisión de PRH 5 y 6 en tablas de cálculo de erosión. Discrepancia de longitud: 177,34 m vs 117,34 m en soterramiento.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Integrar cálculos de socavación y resolver discrepancia vía TQ.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Civil / Hidrología</w:t>
            </w:r>
          </w:p>
        </w:tc>
        <w:tc>
          <w:tcPr>
            <w:gridSpan w:val="2"/>
            <w:shd w:fill="FFC7CE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Abierto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BLQ-06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Interferencia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FC7C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Ducto paralelo LOC-LAA-43 a CONSUR3 con datos de localización aproximados. Máxima criticidad en tramo norte.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Cateos manuales cada 70 m y restricción de maquinaria pesada (sin retro 320/416).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Supervisión de Campo</w:t>
            </w:r>
          </w:p>
        </w:tc>
        <w:tc>
          <w:tcPr>
            <w:gridSpan w:val="2"/>
            <w:shd w:fill="FFEB9C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ejecución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BLQ-07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Documental</w:t>
            </w:r>
          </w:p>
        </w:tc>
        <w:tc>
          <w:tcPr>
            <w:tcW w:type="pct" w:w="50%"/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Impacto: </w:t>
            </w:r>
          </w:p>
        </w:tc>
        <w:tc>
          <w:tcPr>
            <w:tcW w:type="pct" w:w="25%"/>
            <w:shd w:fill="FFEB9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Medio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Pendientes civiles en Data Book (90% completado). Falta cierre de documentación civil para entrega completa DB+CAO.</w:t>
            </w:r>
          </w:p>
        </w:tc>
      </w:tr>
      <w:tr>
        <w:tc>
          <w:tcPr>
            <w:gridSpan w:val="4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requerida: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Completar documentación civil pendiente. Entrega comprometida: 24/07/2026.</w:t>
            </w:r>
          </w:p>
        </w:tc>
      </w:tr>
      <w:tr>
        <w:tc>
          <w:tcPr>
            <w:gridSpan w:val="2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Civil / Calidad</w:t>
            </w:r>
          </w:p>
        </w:tc>
        <w:tc>
          <w:tcPr>
            <w:gridSpan w:val="2"/>
            <w:shd w:fill="FFEB9C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proceso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6. Plan de Acciones para Cumplimiento de lo Programado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Acciones requeridas para alcanzar el cierre integral del proyecto y la entrega de DB + CAO: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pct" w:w="12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Emisión de TQ de espesores (7,14 mm vs 6,02 mm)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Urgente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Inmediato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Ingeniería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Validación de coordenadas PRH mediante cateos y geodetección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Urgente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Previo a zanjeo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Topografía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validación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Resolución discrepancia longitud soterramientos PRH 5-6 (177m vs 117m)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Urgente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Inmediato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Ingeniería Civil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Unificación de nomenclatura documental (ID1173 ↔ VCD25213/03)</w:t>
            </w:r>
          </w:p>
        </w:tc>
        <w:tc>
          <w:tcPr>
            <w:shd w:fill="F4B08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Alta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Próxima revisión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Ingeniería Gral.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Completar análisis de estrés mecánico</w:t>
            </w:r>
          </w:p>
        </w:tc>
        <w:tc>
          <w:tcPr>
            <w:shd w:fill="F4B08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Alta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15/09/2026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Ing. Mecánica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Completar documentación civil pendiente en Data Book</w:t>
            </w:r>
          </w:p>
        </w:tc>
        <w:tc>
          <w:tcPr>
            <w:shd w:fill="F4B08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Alta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30/09/2026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Ing. Civil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Cierre CAO integral (actualmente 85%)</w:t>
            </w:r>
          </w:p>
        </w:tc>
        <w:tc>
          <w:tcPr>
            <w:shd w:fill="F4B08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Alta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15/10/2026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Calidad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Emisión de isométricos 'Aptos para Construcción' post-TQ espesores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Media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Post TQ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Cañerías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Bloqueado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Carga completa Data Book en Documentum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Media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30/10/2026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Calidad / Doc. Control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Asistencia a PEM y Comisionado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Media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Según cronograma</w:t>
            </w:r>
          </w:p>
        </w:tc>
        <w:tc>
          <w:tcPr>
            <w:shd w:fill="D6E4F0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Equipo proyecto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Programado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7. Diagrama de Avance y Gráficas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Representación visual del avance del proyecto por indicador: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7.1 Avance por Indicador</w:t>
      </w:r>
    </w:p>
    <w:p>
      <w:pPr>
        <w:spacing w:after="80" w:before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Ingeniería Detalle       </w:t>
      </w:r>
      <w:r>
        <w:rPr>
          <w:rFonts w:ascii="Consolas" w:cs="Consolas" w:eastAsia="Consolas" w:hAnsi="Consolas"/>
          <w:color w:val="FFC000"/>
          <w:sz w:val="18"/>
          <w:szCs w:val="18"/>
        </w:rPr>
        <w:t xml:space="preserve">██████████████████████████████████░░░░░░</w:t>
      </w:r>
      <w:r>
        <w:rPr>
          <w:rFonts w:ascii="Consolas" w:cs="Consolas" w:eastAsia="Consolas" w:hAnsi="Consolas"/>
          <w:b/>
          <w:bCs/>
          <w:color w:val="FFC000"/>
          <w:sz w:val="18"/>
          <w:szCs w:val="18"/>
        </w:rPr>
        <w:t xml:space="preserve"> 85%</w:t>
      </w:r>
    </w:p>
    <w:p>
      <w:pPr>
        <w:spacing w:after="80" w:before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Data Book                </w:t>
      </w:r>
      <w:r>
        <w:rPr>
          <w:rFonts w:ascii="Consolas" w:cs="Consolas" w:eastAsia="Consolas" w:hAnsi="Consolas"/>
          <w:color w:val="FFC000"/>
          <w:sz w:val="18"/>
          <w:szCs w:val="18"/>
        </w:rPr>
        <w:t xml:space="preserve">████████████████████████████████████░░░░</w:t>
      </w:r>
      <w:r>
        <w:rPr>
          <w:rFonts w:ascii="Consolas" w:cs="Consolas" w:eastAsia="Consolas" w:hAnsi="Consolas"/>
          <w:b/>
          <w:bCs/>
          <w:color w:val="FFC000"/>
          <w:sz w:val="18"/>
          <w:szCs w:val="18"/>
        </w:rPr>
        <w:t xml:space="preserve"> 90%</w:t>
      </w:r>
    </w:p>
    <w:p>
      <w:pPr>
        <w:spacing w:after="80" w:before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CAO                      </w:t>
      </w:r>
      <w:r>
        <w:rPr>
          <w:rFonts w:ascii="Consolas" w:cs="Consolas" w:eastAsia="Consolas" w:hAnsi="Consolas"/>
          <w:color w:val="FFC000"/>
          <w:sz w:val="18"/>
          <w:szCs w:val="18"/>
        </w:rPr>
        <w:t xml:space="preserve">██████████████████████████████████░░░░░░</w:t>
      </w:r>
      <w:r>
        <w:rPr>
          <w:rFonts w:ascii="Consolas" w:cs="Consolas" w:eastAsia="Consolas" w:hAnsi="Consolas"/>
          <w:b/>
          <w:bCs/>
          <w:color w:val="FFC000"/>
          <w:sz w:val="18"/>
          <w:szCs w:val="18"/>
        </w:rPr>
        <w:t xml:space="preserve"> 85%</w:t>
      </w:r>
    </w:p>
    <w:p>
      <w:pPr>
        <w:spacing w:after="80" w:before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Balance de Materiales    </w:t>
      </w:r>
      <w:r>
        <w:rPr>
          <w:rFonts w:ascii="Consolas" w:cs="Consolas" w:eastAsia="Consolas" w:hAnsi="Consolas"/>
          <w:color w:val="00B050"/>
          <w:sz w:val="18"/>
          <w:szCs w:val="18"/>
        </w:rPr>
        <w:t xml:space="preserve">████████████████████████████████████████</w:t>
      </w:r>
      <w:r>
        <w:rPr>
          <w:rFonts w:ascii="Consolas" w:cs="Consolas" w:eastAsia="Consolas" w:hAnsi="Consolas"/>
          <w:b/>
          <w:bCs/>
          <w:color w:val="00B050"/>
          <w:sz w:val="18"/>
          <w:szCs w:val="18"/>
        </w:rPr>
        <w:t xml:space="preserve"> 100%</w:t>
      </w:r>
    </w:p>
    <w:p>
      <w:pPr>
        <w:spacing w:before="3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7.2 Distribución de Documentos por Estado</w:t>
      </w:r>
    </w:p>
    <w:p>
      <w:pPr>
        <w:spacing w:before="10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pct" w:w="20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Porcentaje</w:t>
            </w:r>
          </w:p>
        </w:tc>
        <w:tc>
          <w:tcPr>
            <w:tcW w:type="pct" w:w="3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Representación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Emitido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63%</w:t>
            </w:r>
          </w:p>
        </w:tc>
        <w:tc>
          <w:tcPr>
            <w:shd w:fill="C6EFCE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█████████████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Pendiente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38%</w:t>
            </w:r>
          </w:p>
        </w:tc>
        <w:tc>
          <w:tcPr>
            <w:shd w:fill="FFC7CE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████████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7.3 Mapa de Riesgo - Bloqueos por Impacto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 de Impacto</w:t>
            </w:r>
          </w:p>
        </w:tc>
        <w:tc>
          <w:tcPr>
            <w:tcW w:type="pct" w:w="1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pct" w:w="2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IDs</w:t>
            </w:r>
          </w:p>
        </w:tc>
        <w:tc>
          <w:tcPr>
            <w:tcW w:type="pct" w:w="35%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</w:tr>
      <w:tr>
        <w:tc>
          <w:tcPr>
            <w:shd w:fill="FFC7CE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Crítico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BLQ-02, BLQ-06</w:t>
            </w:r>
          </w:p>
        </w:tc>
        <w:tc>
          <w:tcPr>
            <w:shd w:fill="FFC7CE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▓▓▓▓▓▓▓▓</w:t>
            </w:r>
          </w:p>
        </w:tc>
      </w:tr>
      <w:tr>
        <w:tc>
          <w:tcPr>
            <w:shd w:fill="F4B08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BLQ-01, BLQ-03, BLQ-04, BLQ-05</w:t>
            </w:r>
          </w:p>
        </w:tc>
        <w:tc>
          <w:tcPr>
            <w:shd w:fill="F4B084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▓▓▓▓▓▓▓▓▓▓▓▓▓▓▓▓</w:t>
            </w:r>
          </w:p>
        </w:tc>
      </w:tr>
      <w:tr>
        <w:tc>
          <w:tcPr>
            <w:shd w:fill="FFEB9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BLQ-07</w:t>
            </w:r>
          </w:p>
        </w:tc>
        <w:tc>
          <w:tcPr>
            <w:shd w:fill="FFEB9C" w:val="clea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▓▓▓▓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8. Discrepancias Técnicas Críticas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 resumen las discrepancias técnicas identificadas en la auditoría de ingeniería básica que condicionan la ejecución segura del proyecto: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8.1 Discrepancia de Espesores de Ducto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Espesor (mm)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Memoria de Cálculo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7,14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Valor de diseño adoptado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Estudio de Riesgo Hídrico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6,02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Valor resultante del ERH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Mínimo integridad mecánica</w:t>
            </w:r>
          </w:p>
        </w:tc>
        <w:tc>
          <w:tcPr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5,40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Ambos superan el mínimo</w:t>
            </w:r>
          </w:p>
        </w:tc>
      </w:tr>
    </w:tbl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Acción: Emisión de TQ formal para unificar criterio antes de emitir isométricos 'Aptos para Construcción'.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8.2 Desplazamientos de Coordenadas PRH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Coord. Hidrológica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Coord. OMA (Diseño)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Desplazamiento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PRH 1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Y: 2.531.519,50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Y: 2.531.560,12</w:t>
            </w:r>
          </w:p>
        </w:tc>
        <w:tc>
          <w:tcPr>
            <w:shd w:fill="F4B08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~40,6 m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Exposición lateral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PRH 1 bis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X: 5.764.306,64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X: 5.764.317,20</w:t>
            </w:r>
          </w:p>
        </w:tc>
        <w:tc>
          <w:tcPr>
            <w:shd w:fill="FFEB9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~10,6 m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Desalineación con canal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PRH 4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Y: 2.531.989,76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Y: 2.531.983,25</w:t>
            </w:r>
          </w:p>
        </w:tc>
        <w:tc>
          <w:tcPr>
            <w:shd w:fill="FFC7CE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~67 m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CRÍTICO - Fuera de cauce</w:t>
            </w:r>
          </w:p>
        </w:tc>
      </w:tr>
    </w:tbl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Diagnóstico: un desplazamiento de 40 a 67 m implica soterramiento fuera del cauce real, con riesgo de socavación lateral y esfuerzos mecánicos por arrastre de sedimentos durante evento TR100.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8.3 Inconsistencias de Control de Versiones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Memoria Técnica: identificada externamente como Rev. 2 pero internamente como Rev. 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Nomenclatura dual: ID1173 (referencia ERH) vs VCD25213/03 (referencia MT).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Riesgo: invalidación de registros END/NDT y pruebas hidráulicas en futuras auditorías de integridad.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9. Conclusiones y Próximos Pasos</w:t>
      </w:r>
    </w:p>
    <w:p>
      <w:pPr>
        <w:pBdr>
          <w:bottom w:val="single" w:color="1F4E79" w:sz="6"/>
        </w:pBd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El proyecto VCD25213 - Gas Lift PAD LAA-43 se encuentra en una etapa avanzada de cierre de ingeniería (85%) y documentación CAO (85%), con entrega integral de DB+CAO comprometida. Sin embargo, existen bloqueos técnicos y documentales que requieren resolución inmediata para garantizar la integridad del ducto y la validez del paquete de entrega.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Acciones Prioritarias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Resolver discrepancia de espesores (7,14 mm vs 6,02 mm) mediante TQ formal - Precondición para isométricos ApC.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Validar coordenadas PRH en campo (desplazamiento de hasta 67 m en PRH 4) - Impacto crítico en soterramiento.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Completar análisis de estrés mecánico - Pendiente desde 15/06/2026.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Cerrar documentación civil pendiente en Data Book (actualmente 90%).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Unificar nomenclatura documental ID1173 ↔ VCD25213/03 en próxima revisión.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Resolver discrepancia longitud soterramiento PRH 5-6 (177,34 m vs 117,34 m).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Próximos Hitos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Cierre análisis de estrés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15/09/2026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Ing. Mecánica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Cierre documentación civil DB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30/09/2026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Ing. Civil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Cierre CAO integral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15/10/2026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Carga DB en Documentum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30/10/2026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Doc. Control</w:t>
            </w:r>
          </w:p>
        </w:tc>
      </w:tr>
    </w:tbl>
    <w:p>
      <w:pPr>
        <w:spacing w:before="300"/>
      </w:pPr>
    </w:p>
    <w:p>
      <w:pPr>
        <w:pBdr>
          <w:bottom w:val="single" w:color="1F4E79" w:sz="6"/>
        </w:pBdr>
        <w:spacing w:after="100" w:before="1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Fin del Informe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Emitido por: CODESIN SA — 07/09/2026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Pág.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de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03366"/>
        <w:sz w:val="16"/>
        <w:szCs w:val="16"/>
      </w:rPr>
      <w:t xml:space="preserve">CODESIN SA</w:t>
    </w:r>
    <w:r>
      <w:rPr>
        <w:rFonts w:ascii="Calibri" w:cs="Calibri" w:eastAsia="Calibri" w:hAnsi="Calibri"/>
        <w:color w:val="999999"/>
        <w:sz w:val="16"/>
        <w:szCs w:val="16"/>
      </w:rPr>
      <w:t xml:space="preserve">  |  </w:t>
    </w:r>
    <w:r>
      <w:rPr>
        <w:rFonts w:ascii="Calibri" w:cs="Calibri" w:eastAsia="Calibri" w:hAnsi="Calibri"/>
        <w:color w:val="666666"/>
        <w:sz w:val="16"/>
        <w:szCs w:val="16"/>
      </w:rPr>
      <w:t xml:space="preserve">VCD25213 - Gas Lift PAD LAA-43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Ingeniería VCD25213 - Gas Lift PAD LAA-43</dc:title>
  <dc:creator>CODESIN SA</dc:creator>
  <dc:description>Informe de estado de ingeniería, KPIs, plan de acciones y bloqueos</dc:description>
  <cp:lastModifiedBy>Un-named</cp:lastModifiedBy>
  <cp:revision>1</cp:revision>
  <dcterms:created xsi:type="dcterms:W3CDTF">2026-09-23T18:08:10.777Z</dcterms:created>
  <dcterms:modified xsi:type="dcterms:W3CDTF">2026-09-23T18:08:10.777Z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