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480" w:after="240"/>
        <w:rPr/>
      </w:pPr>
      <w:r>
        <w:rPr/>
        <w:t>Отчет по лабораторной работе №</w:t>
      </w:r>
      <w:r>
        <w:rPr/>
        <w:t>5</w:t>
      </w:r>
    </w:p>
    <w:p>
      <w:pPr>
        <w:pStyle w:val="Subtitle"/>
        <w:bidi w:val="0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Шабакова Карина Баировна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rPr/>
            <w:t>Содержание</w:t>
          </w:r>
        </w:p>
        <w:p>
          <w:pPr>
            <w:pStyle w:val="Normal"/>
            <w:bidi w:val="0"/>
            <w:jc w:val="start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bidi w:val="0"/>
        <w:jc w:val="start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start"/>
        <w:rPr/>
      </w:pPr>
      <w:bookmarkStart w:id="0" w:name="цель-работы"/>
      <w:r>
        <w:rPr/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  <w:bookmarkEnd w:id="0"/>
    </w:p>
    <w:p>
      <w:pPr>
        <w:pStyle w:val="Heading1"/>
        <w:bidi w:val="0"/>
        <w:jc w:val="start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5"/>
        </w:numPr>
        <w:bidi w:val="0"/>
        <w:jc w:val="start"/>
        <w:rPr/>
      </w:pPr>
      <w:r>
        <w:rPr/>
        <w:t>Основы работы с mc</w:t>
      </w:r>
    </w:p>
    <w:p>
      <w:pPr>
        <w:pStyle w:val="Compact"/>
        <w:numPr>
          <w:ilvl w:val="0"/>
          <w:numId w:val="6"/>
        </w:numPr>
        <w:bidi w:val="0"/>
        <w:jc w:val="start"/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7"/>
        </w:numPr>
        <w:bidi w:val="0"/>
        <w:jc w:val="start"/>
        <w:rPr/>
      </w:pPr>
      <w:r>
        <w:rPr/>
        <w:t>Подключение внешнего файла</w:t>
      </w:r>
    </w:p>
    <w:p>
      <w:pPr>
        <w:pStyle w:val="Compact"/>
        <w:numPr>
          <w:ilvl w:val="0"/>
          <w:numId w:val="8"/>
        </w:numPr>
        <w:bidi w:val="0"/>
        <w:jc w:val="start"/>
        <w:rPr/>
      </w:pPr>
      <w:bookmarkStart w:id="1" w:name="задание"/>
      <w:r>
        <w:rPr/>
        <w:t>Выполнение заданий для самостоятельной работы</w:t>
      </w:r>
      <w:bookmarkEnd w:id="1"/>
    </w:p>
    <w:p>
      <w:pPr>
        <w:pStyle w:val="Heading1"/>
        <w:bidi w:val="0"/>
        <w:jc w:val="start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bidi w:val="0"/>
        <w:jc w:val="start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  <w:bidi w:val="0"/>
        <w:jc w:val="start"/>
        <w:rPr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>
      <w:pPr>
        <w:pStyle w:val="FirstParagraph"/>
        <w:bidi w:val="0"/>
        <w:jc w:val="start"/>
        <w:rPr/>
      </w:pPr>
      <w:r>
        <w:rPr/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SourceCode"/>
        <w:bidi w:val="0"/>
        <w:jc w:val="start"/>
        <w:rPr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>
      <w:pPr>
        <w:pStyle w:val="FirstParagraph"/>
        <w:bidi w:val="0"/>
        <w:jc w:val="start"/>
        <w:rPr/>
      </w:pPr>
      <w:r>
        <w:rPr/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p>
      <w:pPr>
        <w:pStyle w:val="Heading1"/>
        <w:bidi w:val="0"/>
        <w:jc w:val="start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4.1</w:t>
      </w:r>
      <w:r>
        <w:rPr/>
        <w:tab/>
        <w:t>Основы работы с mc</w:t>
      </w:r>
    </w:p>
    <w:p>
      <w:pPr>
        <w:pStyle w:val="BodyText"/>
        <w:bidi w:val="0"/>
        <w:jc w:val="start"/>
        <w:rPr/>
      </w:pPr>
      <w:r>
        <w:rPr/>
        <w:t>Открываю Midnight Commander, введя в терминал mc (рис. 1).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67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1: Открытый mc</w:t>
      </w:r>
    </w:p>
    <w:p>
      <w:pPr>
        <w:pStyle w:val="BodyText"/>
        <w:bidi w:val="0"/>
        <w:jc w:val="start"/>
        <w:rPr/>
      </w:pPr>
      <w:r>
        <w:rPr/>
        <w:t>С помощью функциональной клавиши F7 создаю каталог lab05 (рис. 2).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1207770</wp:posOffset>
            </wp:positionH>
            <wp:positionV relativeFrom="paragraph">
              <wp:posOffset>64770</wp:posOffset>
            </wp:positionV>
            <wp:extent cx="3305175" cy="2209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2: Создание каталога</w:t>
      </w:r>
    </w:p>
    <w:p>
      <w:pPr>
        <w:pStyle w:val="BodyText"/>
        <w:bidi w:val="0"/>
        <w:jc w:val="start"/>
        <w:rPr/>
      </w:pPr>
      <w:r>
        <w:rPr/>
        <w:t>В строке ввода прописываю команду touch lab5-1.asm, чтобы создать файл, в котором буду работать (рис. 3).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8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3: Создание файла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4.2</w:t>
      </w:r>
      <w:r>
        <w:rPr/>
        <w:tab/>
        <w:t>Структура программы на языке ассемблера NASM</w:t>
      </w:r>
    </w:p>
    <w:p>
      <w:pPr>
        <w:pStyle w:val="FirstParagraph"/>
        <w:bidi w:val="0"/>
        <w:jc w:val="start"/>
        <w:rPr/>
      </w:pPr>
      <w:r>
        <w:rPr/>
        <w:t>С помощью функциональной клавиши F4 открываю созданный файл для редактирования в редакторе mcedit и ввожу в файл код программы для запроса строки у пользователя (рис. 4).</w:t>
      </w:r>
    </w:p>
    <w:p>
      <w:pPr>
        <w:pStyle w:val="BodyText"/>
        <w:bidi w:val="0"/>
        <w:jc w:val="start"/>
        <w:rPr/>
      </w:pPr>
      <w:r>
        <w:rPr/>
        <w:t>Далее выхожу из файла (F10), сохраняя изменения (F2).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27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4: Редактирование файла</w:t>
      </w:r>
    </w:p>
    <w:p>
      <w:pPr>
        <w:pStyle w:val="BodyText"/>
        <w:bidi w:val="0"/>
        <w:jc w:val="start"/>
        <w:rPr/>
      </w:pPr>
      <w:r>
        <w:rPr/>
        <w:t>С помощью функциональной клавиши F3 открываю файл для просмотра, чтобы проверить, содержит ли файл текст программы (рис. 5).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57912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5: Открытие файла для просмотра</w:t>
      </w:r>
    </w:p>
    <w:p>
      <w:pPr>
        <w:pStyle w:val="BodyText"/>
        <w:bidi w:val="0"/>
        <w:jc w:val="start"/>
        <w:rPr/>
      </w:pPr>
      <w:r>
        <w:rPr/>
        <w:t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6). Создался исполняемый файл lab5-1.</w:t>
      </w:r>
    </w:p>
    <w:p>
      <w:pPr>
        <w:pStyle w:val="BodyText"/>
        <w:bidi w:val="0"/>
        <w:jc w:val="start"/>
        <w:rPr/>
      </w:pPr>
      <w:r>
        <w:rPr/>
        <w:t>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 (рис. 6).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92710</wp:posOffset>
            </wp:positionV>
            <wp:extent cx="5819775" cy="14478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6: Компиляция файла, передача на обработку компоновщику и исполнение файла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4.3</w:t>
      </w:r>
      <w:r>
        <w:rPr/>
        <w:tab/>
        <w:t>Подключение внешнего файла</w:t>
      </w:r>
    </w:p>
    <w:p>
      <w:pPr>
        <w:pStyle w:val="FirstParagraph"/>
        <w:bidi w:val="0"/>
        <w:jc w:val="start"/>
        <w:rPr/>
      </w:pPr>
      <w:r>
        <w:rPr/>
        <w:t>Скачиваю файл in_out.asm со страницы курса в ТУИС (рис. 7).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902970</wp:posOffset>
            </wp:positionH>
            <wp:positionV relativeFrom="paragraph">
              <wp:posOffset>80010</wp:posOffset>
            </wp:positionV>
            <wp:extent cx="3571875" cy="18573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7: Скачанный файл</w:t>
      </w:r>
    </w:p>
    <w:p>
      <w:pPr>
        <w:pStyle w:val="BodyText"/>
        <w:bidi w:val="0"/>
        <w:jc w:val="start"/>
        <w:rPr/>
      </w:pPr>
      <w:r>
        <w:rPr/>
        <w:t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8).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1369695</wp:posOffset>
            </wp:positionH>
            <wp:positionV relativeFrom="paragraph">
              <wp:posOffset>108585</wp:posOffset>
            </wp:positionV>
            <wp:extent cx="3381375" cy="24193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8: Копирование файла</w:t>
      </w:r>
    </w:p>
    <w:p>
      <w:pPr>
        <w:pStyle w:val="BodyText"/>
        <w:bidi w:val="0"/>
        <w:jc w:val="start"/>
        <w:rPr/>
      </w:pPr>
      <w:r>
        <w:rPr/>
        <w:t>Изменяю содержимое файла lab5-2.asm во встроенном редакторе nano (рис. 9), чтобы в программе использовались подпрограммы из внешнего файла in_out.asm.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54387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9: Редактирование файла</w:t>
      </w:r>
    </w:p>
    <w:p>
      <w:pPr>
        <w:pStyle w:val="BodyText"/>
        <w:bidi w:val="0"/>
        <w:jc w:val="start"/>
        <w:rPr/>
      </w:pPr>
      <w:r>
        <w:rPr/>
        <w:t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83820</wp:posOffset>
            </wp:positionH>
            <wp:positionV relativeFrom="paragraph">
              <wp:posOffset>937895</wp:posOffset>
            </wp:positionV>
            <wp:extent cx="6067425" cy="14382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сполняемый файл (рис. 10).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10: Исполнение файла</w:t>
      </w:r>
    </w:p>
    <w:p>
      <w:pPr>
        <w:pStyle w:val="BodyText"/>
        <w:bidi w:val="0"/>
        <w:jc w:val="start"/>
        <w:rPr/>
      </w:pPr>
      <w:r>
        <w:rPr/>
        <w:t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11).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1564640</wp:posOffset>
            </wp:positionH>
            <wp:positionV relativeFrom="paragraph">
              <wp:posOffset>113665</wp:posOffset>
            </wp:positionV>
            <wp:extent cx="3105150" cy="51720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11: Отредактированный файл</w:t>
      </w:r>
    </w:p>
    <w:p>
      <w:pPr>
        <w:pStyle w:val="BodyText"/>
        <w:bidi w:val="0"/>
        <w:jc w:val="start"/>
        <w:rPr/>
      </w:pPr>
      <w:r>
        <w:rPr/>
        <w:t>Снова транслирую файл, выполняю компоновку созданного объектного файла, запускаю новый исполняемый файл (рис. 12).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2096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12: Исполнение файла</w:t>
      </w:r>
    </w:p>
    <w:p>
      <w:pPr>
        <w:pStyle w:val="BodyText"/>
        <w:bidi w:val="0"/>
        <w:jc w:val="start"/>
        <w:rPr/>
      </w:pPr>
      <w:r>
        <w:rPr/>
        <w:t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Heading2"/>
        <w:bidi w:val="0"/>
        <w:jc w:val="start"/>
        <w:rPr/>
      </w:pPr>
      <w:r>
        <w:rPr>
          <w:rStyle w:val="SectionNumber"/>
        </w:rPr>
        <w:t>4.4</w:t>
      </w:r>
      <w:r>
        <w:rPr/>
        <w:tab/>
        <w:t>Выполнение заданий для самостоятельной работы</w:t>
      </w:r>
    </w:p>
    <w:p>
      <w:pPr>
        <w:pStyle w:val="Compact"/>
        <w:numPr>
          <w:ilvl w:val="0"/>
          <w:numId w:val="9"/>
        </w:numPr>
        <w:bidi w:val="0"/>
        <w:jc w:val="start"/>
        <w:rPr/>
      </w:pPr>
      <w:r>
        <w:rPr/>
        <w:t>Создаю копию файла lab5-1.asm с именем lab51-1.asm с помощью функциональной клавиши F5 (ри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1488440</wp:posOffset>
            </wp:positionH>
            <wp:positionV relativeFrom="paragraph">
              <wp:posOffset>600075</wp:posOffset>
            </wp:positionV>
            <wp:extent cx="3143250" cy="62865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с. 13).</w:t>
      </w:r>
    </w:p>
    <w:p>
      <w:pPr>
        <w:pStyle w:val="Compact"/>
        <w:bidi w:val="0"/>
        <w:jc w:val="start"/>
        <w:rPr/>
      </w:pPr>
      <w:r>
        <w:rPr/>
      </w:r>
    </w:p>
    <w:p>
      <w:pPr>
        <w:pStyle w:val="Compact"/>
        <w:bidi w:val="0"/>
        <w:jc w:val="start"/>
        <w:rPr/>
      </w:pPr>
      <w:r>
        <w:rPr/>
      </w:r>
    </w:p>
    <w:p>
      <w:pPr>
        <w:pStyle w:val="Compac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13: Копирование файла</w:t>
      </w:r>
    </w:p>
    <w:p>
      <w:pPr>
        <w:pStyle w:val="BodyText"/>
        <w:bidi w:val="0"/>
        <w:jc w:val="star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14).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979170</wp:posOffset>
            </wp:positionH>
            <wp:positionV relativeFrom="paragraph">
              <wp:posOffset>37465</wp:posOffset>
            </wp:positionV>
            <wp:extent cx="4295775" cy="63246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ImageCaption"/>
        <w:bidi w:val="0"/>
        <w:jc w:val="start"/>
        <w:rPr/>
      </w:pPr>
      <w:r>
        <w:rPr/>
        <w:t>Рис. 14: Редактирование файла</w:t>
      </w:r>
    </w:p>
    <w:p>
      <w:pPr>
        <w:pStyle w:val="ImageCaption"/>
        <w:bidi w:val="0"/>
        <w:jc w:val="start"/>
        <w:rPr/>
      </w:pPr>
      <w:r>
        <w:rPr/>
        <w:t>2.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15).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50165</wp:posOffset>
            </wp:positionH>
            <wp:positionV relativeFrom="paragraph">
              <wp:posOffset>132715</wp:posOffset>
            </wp:positionV>
            <wp:extent cx="6019800" cy="163830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15: Исполнение файла</w:t>
      </w:r>
    </w:p>
    <w:p>
      <w:pPr>
        <w:pStyle w:val="ImageCaption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Код программы из пункта 1:</w:t>
      </w:r>
    </w:p>
    <w:p>
      <w:pPr>
        <w:pStyle w:val="SourceCode"/>
        <w:bidi w:val="0"/>
        <w:jc w:val="start"/>
        <w:rPr/>
      </w:pP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/>
        <w:br/>
      </w:r>
      <w:r>
        <w:rPr>
          <w:rStyle w:val="FunctionTok"/>
        </w:rPr>
        <w:t>msgLen: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r>
        <w:rPr>
          <w:rStyle w:val="NormalTok"/>
        </w:rPr>
        <w:t xml:space="preserve">msg </w:t>
      </w:r>
      <w:r>
        <w:rPr>
          <w:rStyle w:val="CommentTok"/>
        </w:rPr>
        <w:t>; Длина переменной 'msg'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1 -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msg </w:t>
      </w:r>
      <w:r>
        <w:rPr>
          <w:rStyle w:val="CommentTok"/>
        </w:rPr>
        <w:t>; Адрес строки 'msg' в 'ecx'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msgLen </w:t>
      </w:r>
      <w:r>
        <w:rPr>
          <w:rStyle w:val="CommentTok"/>
        </w:rPr>
        <w:t>; Размер строки 'msg' в 'edx'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чтения (sys_read)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Дескриптор файла 0 - стандартный ввод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Адрес буфера под вводимую строку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Длина вводимой строки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Размер строки buf1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выхода (sys_exit)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Выход с кодом возврата 0 (без ошибок)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</w:p>
    <w:p>
      <w:pPr>
        <w:pStyle w:val="SourceCode"/>
        <w:bidi w:val="0"/>
        <w:jc w:val="start"/>
        <w:rPr>
          <w:rStyle w:val="CommentTok"/>
        </w:rPr>
      </w:pPr>
      <w:r>
        <w:rPr/>
      </w:r>
    </w:p>
    <w:p>
      <w:pPr>
        <w:pStyle w:val="SourceCode"/>
        <w:bidi w:val="0"/>
        <w:jc w:val="start"/>
        <w:rPr/>
      </w:pPr>
      <w:r>
        <w:rPr/>
        <w:t>3. Создаю копию файла lab5-2.asm с именем lab5-2-1.asm с помощью функциональной клавиши F5 (рис. 16).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7685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16: Копирование файла</w:t>
      </w:r>
    </w:p>
    <w:p>
      <w:pPr>
        <w:pStyle w:val="BodyText"/>
        <w:bidi w:val="0"/>
        <w:jc w:val="star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550545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17: Редактирование файла</w:t>
      </w:r>
    </w:p>
    <w:p>
      <w:pPr>
        <w:pStyle w:val="ImageCaption"/>
        <w:bidi w:val="0"/>
        <w:jc w:val="start"/>
        <w:rPr/>
      </w:pPr>
      <w:r>
        <w:rPr/>
        <w:t>4. 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18).</w:t>
      </w:r>
    </w:p>
    <w:p>
      <w:pPr>
        <w:pStyle w:val="ImageCaption"/>
        <w:bidi w:val="0"/>
        <w:jc w:val="start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134302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18: Исполнение файла</w:t>
      </w:r>
    </w:p>
    <w:p>
      <w:pPr>
        <w:pStyle w:val="BodyText"/>
        <w:bidi w:val="0"/>
        <w:jc w:val="start"/>
        <w:rPr/>
      </w:pPr>
      <w:r>
        <w:rPr/>
        <w:t>Код программы из пункта 3:</w:t>
      </w:r>
    </w:p>
    <w:p>
      <w:pPr>
        <w:pStyle w:val="SourceCode"/>
        <w:bidi w:val="0"/>
        <w:jc w:val="start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 '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сообщение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запись адреса выводимого сообщения в `EAX`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</w:t>
      </w:r>
      <w:r>
        <w:rPr>
          <w:rStyle w:val="CommentTok"/>
        </w:rPr>
        <w:t>; вызов подпрограммы печати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запись адреса переменной в `EAX`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запись длины вводимого сообщения в `EBX`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</w:t>
      </w:r>
      <w:r>
        <w:rPr>
          <w:rStyle w:val="CommentTok"/>
        </w:rPr>
        <w:t>; вызов подпрограммы ввода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вызов подпрограммы завершения</w:t>
      </w:r>
    </w:p>
    <w:p>
      <w:pPr>
        <w:pStyle w:val="Heading1"/>
        <w:bidi w:val="0"/>
        <w:jc w:val="start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bidi w:val="0"/>
        <w:jc w:val="start"/>
        <w:rPr/>
      </w:pPr>
      <w:bookmarkStart w:id="2" w:name="выводы"/>
      <w:r>
        <w:rPr>
          <w:rStyle w:val="CommentTok"/>
          <w:i w:val="false"/>
          <w:iCs w:val="false"/>
          <w:color w:val="000000"/>
        </w:rPr>
        <w:t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  <w:bookmarkEnd w:id="2"/>
    </w:p>
    <w:p>
      <w:pPr>
        <w:pStyle w:val="Heading1"/>
        <w:bidi w:val="0"/>
        <w:jc w:val="start"/>
        <w:rPr/>
      </w:pPr>
      <w:r>
        <w:rPr>
          <w:rStyle w:val="SectionNumber"/>
        </w:rPr>
        <w:t>6</w:t>
      </w:r>
      <w:r>
        <w:rPr>
          <w:rStyle w:val="CommentTok"/>
        </w:rPr>
        <w:tab/>
      </w:r>
      <w:r>
        <w:rPr>
          <w:rStyle w:val="CommentTok"/>
          <w:i w:val="false"/>
          <w:i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CommentTok"/>
          <w:i w:val="false"/>
          <w:iCs w:val="false"/>
          <w:color w:val="000000"/>
        </w:rPr>
        <w:t>1. 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</w:t>
      </w:r>
    </w:p>
    <w:sectPr>
      <w:footerReference w:type="even" r:id="rId20"/>
      <w:footerReference w:type="default" r:id="rId21"/>
      <w:footerReference w:type="first" r:id="rId22"/>
      <w:type w:val="nextPage"/>
      <w:pgSz w:w="11906" w:h="16838"/>
      <w:pgMar w:left="1134" w:right="1134" w:gutter="0" w:header="0" w:top="1134" w:footer="1134" w:bottom="181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mageCaption"/>
      <w:bidi w:val="0"/>
      <w:spacing w:before="120" w:after="12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mageCaption"/>
      <w:bidi w:val="0"/>
      <w:spacing w:before="120" w:after="120"/>
      <w:jc w:val="star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Arial" w:hAnsi="Arial" w:eastAsia="DejaVu Sans" w:cs="DejaVu Sans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paragraph" w:styleId="ImageCaption">
    <w:name w:val="Image Caption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LibreOffice/24.2.2.1$Linux_X86_64 LibreOffice_project/420$Build-1</Application>
  <AppVersion>15.0000</AppVersion>
  <Pages>14</Pages>
  <Words>1265</Words>
  <Characters>8028</Characters>
  <CharactersWithSpaces>9227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2024-11-08T21:47:10Z</dcterms:created>
  <dc:creator/>
  <dc:description/>
  <dc:language>ru-RU</dc:language>
  <cp:lastModifiedBy/>
  <dcterms:modified xsi:type="dcterms:W3CDTF">2024-11-08T23:19:13Z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