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0F766E"/>
          <w:sz w:val="18"/>
        </w:rPr>
        <w:t>RFP 7.9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23C69"/>
          <w:sz w:val="40"/>
        </w:rPr>
        <w:t>AI Clinical Validation &amp; Equity Assessment</w:t>
      </w:r>
    </w:p>
    <w:p>
      <w:pPr>
        <w:spacing w:after="160" w:line="264" w:lineRule="auto"/>
      </w:pPr>
      <w:r>
        <w:rPr>
          <w:rFonts w:ascii="Calibri" w:hAnsi="Calibri" w:eastAsia="Calibri"/>
          <w:b w:val="0"/>
          <w:i w:val="0"/>
          <w:color w:val="5A6A7A"/>
          <w:sz w:val="22"/>
        </w:rPr>
        <w:t>Life Healthcare  ·  AI Solution Provider  ·  17 August 2026  ·  Version 3.0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4"/>
      </w:tblGrid>
      <w:tr>
        <w:trPr>
          <w:tblHeader w:val="true"/>
          <w:cantSplit/>
        </w:trPr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48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Purpose</w:t>
            </w:r>
          </w:p>
        </w:tc>
        <w:tc>
          <w:tcPr>
            <w:tcW w:type="dxa" w:w="748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Evidence for AI evaluation, validation, bias and population performance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Status</w:t>
            </w:r>
          </w:p>
        </w:tc>
        <w:tc>
          <w:tcPr>
            <w:tcW w:type="dxa" w:w="748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Proposed / Pre-production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Accuracy figures</w:t>
            </w:r>
          </w:p>
        </w:tc>
        <w:tc>
          <w:tcPr>
            <w:tcW w:type="dxa" w:w="748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Approximate engineering estimates — not a clinical trial or SA validation</w:t>
            </w:r>
          </w:p>
        </w:tc>
      </w:tr>
    </w:tbl>
    <w:p>
      <w:pPr>
        <w:spacing w:after="120"/>
      </w:pPr>
    </w:p>
    <w:p>
      <w:pPr>
        <w:spacing w:after="160"/>
        <w:shd w:fill="FEF6E8" w:val="clear"/>
        <w:pBdr>
          <w:left w:val="single" w:sz="22" w:space="6" w:color="B45309"/>
        </w:pBdr>
      </w:pPr>
      <w:r>
        <w:rPr>
          <w:rFonts w:ascii="Calibri" w:hAnsi="Calibri" w:eastAsia="Calibri"/>
          <w:b w:val="0"/>
          <w:i w:val="0"/>
          <w:color w:val="1A2332"/>
          <w:sz w:val="20"/>
        </w:rPr>
        <w:t>South African population validation has not been completed. Life Healthcare has final authority on engine selection, clinical acceptance and production go-live.</w:t>
      </w:r>
    </w:p>
    <w:p>
      <w:pPr>
        <w:keepNext/>
        <w:spacing w:before="240" w:after="120"/>
        <w:pBdr>
          <w:bottom w:val="single" w:sz="10" w:space="6" w:color="123C69"/>
        </w:pBdr>
      </w:pPr>
      <w:r>
        <w:rPr>
          <w:rFonts w:ascii="Calibri" w:hAnsi="Calibri" w:eastAsia="Calibri"/>
          <w:b/>
          <w:i w:val="0"/>
          <w:color w:val="123C69"/>
          <w:sz w:val="28"/>
        </w:rPr>
        <w:t>1. Summary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1A2332"/>
          <w:sz w:val="21"/>
        </w:rPr>
        <w:t>AI engines are chosen per use case, not by brand. Services are model-agnostic (cloud gpt-4o or local Qwen via configuration). Outputs are assistive and require clinician review. Formal clinical and South African validation will run before production.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i w:val="0"/>
          <w:color w:val="1A2332"/>
          <w:sz w:val="21"/>
        </w:rPr>
        <w:t>EXISTING: engines, architecture, provenance fields, review flags, engineering tests.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i w:val="0"/>
          <w:color w:val="1A2332"/>
          <w:sz w:val="21"/>
        </w:rPr>
        <w:t>PROPOSED: clinical validation, equity assessment, production monitoring.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i w:val="0"/>
          <w:color w:val="1A2332"/>
          <w:sz w:val="21"/>
        </w:rPr>
        <w:t>Accuracy below is approximate (gpt-4o / DenseNet default). Not formally measured on Life Healthcare data.</w:t>
      </w:r>
    </w:p>
    <w:p>
      <w:pPr>
        <w:keepNext/>
        <w:spacing w:before="240" w:after="120"/>
        <w:pBdr>
          <w:bottom w:val="single" w:sz="10" w:space="6" w:color="123C69"/>
        </w:pBdr>
      </w:pPr>
      <w:r>
        <w:rPr>
          <w:rFonts w:ascii="Calibri" w:hAnsi="Calibri" w:eastAsia="Calibri"/>
          <w:b/>
          <w:i w:val="0"/>
          <w:color w:val="123C69"/>
          <w:sz w:val="28"/>
        </w:rPr>
        <w:t>2. Models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381"/>
        <w:gridCol w:w="2608"/>
        <w:gridCol w:w="2608"/>
      </w:tblGrid>
      <w:tr>
        <w:trPr>
          <w:tblHeader w:val="true"/>
          <w:cantSplit/>
        </w:trPr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Engine</w:t>
            </w:r>
          </w:p>
        </w:tc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Use</w:t>
            </w:r>
          </w:p>
        </w:tc>
        <w:tc>
          <w:tcPr>
            <w:tcW w:type="dxa" w:w="260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Accuracy (approx.)</w:t>
            </w:r>
          </w:p>
        </w:tc>
        <w:tc>
          <w:tcPr>
            <w:tcW w:type="dxa" w:w="260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Speed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gpt-4o</w:t>
            </w:r>
          </w:p>
        </w:tc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Default LLM</w:t>
            </w:r>
          </w:p>
        </w:tc>
        <w:tc>
          <w:tcPr>
            <w:tcW w:type="dxa" w:w="260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85%</w:t>
            </w:r>
          </w:p>
        </w:tc>
        <w:tc>
          <w:tcPr>
            <w:tcW w:type="dxa" w:w="260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Slower (cloud)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qwen3:1.7b</w:t>
            </w:r>
          </w:p>
        </w:tc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Local LLM</w:t>
            </w:r>
          </w:p>
        </w:tc>
        <w:tc>
          <w:tcPr>
            <w:tcW w:type="dxa" w:w="260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65%</w:t>
            </w:r>
          </w:p>
        </w:tc>
        <w:tc>
          <w:tcPr>
            <w:tcW w:type="dxa" w:w="260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Faster on GPU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DenseNet CXR</w:t>
            </w:r>
          </w:p>
        </w:tc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X-ray candidates</w:t>
            </w:r>
          </w:p>
        </w:tc>
        <w:tc>
          <w:tcPr>
            <w:tcW w:type="dxa" w:w="260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80%</w:t>
            </w:r>
          </w:p>
        </w:tc>
        <w:tc>
          <w:tcPr>
            <w:tcW w:type="dxa" w:w="260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Fastest imaging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qwen2.5vl:3b</w:t>
            </w:r>
          </w:p>
        </w:tc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Local vision</w:t>
            </w:r>
          </w:p>
        </w:tc>
        <w:tc>
          <w:tcPr>
            <w:tcW w:type="dxa" w:w="260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70%</w:t>
            </w:r>
          </w:p>
        </w:tc>
        <w:tc>
          <w:tcPr>
            <w:tcW w:type="dxa" w:w="260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Faster than gpt-4o vision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Whisper medium</w:t>
            </w:r>
          </w:p>
        </w:tc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Speech-to-text</w:t>
            </w:r>
          </w:p>
        </w:tc>
        <w:tc>
          <w:tcPr>
            <w:tcW w:type="dxa" w:w="260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80%</w:t>
            </w:r>
          </w:p>
        </w:tc>
        <w:tc>
          <w:tcPr>
            <w:tcW w:type="dxa" w:w="260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Faster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Whisper large-v3</w:t>
            </w:r>
          </w:p>
        </w:tc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Speech-to-text</w:t>
            </w:r>
          </w:p>
        </w:tc>
        <w:tc>
          <w:tcPr>
            <w:tcW w:type="dxa" w:w="260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90%</w:t>
            </w:r>
          </w:p>
        </w:tc>
        <w:tc>
          <w:tcPr>
            <w:tcW w:type="dxa" w:w="260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Slower; GPU for real-time</w:t>
            </w:r>
          </w:p>
        </w:tc>
      </w:tr>
    </w:tbl>
    <w:p>
      <w:pPr>
        <w:spacing w:after="120"/>
      </w:pPr>
    </w:p>
    <w:p>
      <w:pPr>
        <w:spacing w:after="160" w:line="264" w:lineRule="auto"/>
      </w:pPr>
      <w:r>
        <w:rPr>
          <w:rFonts w:ascii="Calibri" w:hAnsi="Calibri" w:eastAsia="Calibri"/>
          <w:b w:val="0"/>
          <w:i w:val="0"/>
          <w:color w:val="5A6A7A"/>
          <w:sz w:val="20"/>
        </w:rPr>
        <w:t>Qwen 1.7B is usually faster (small local model). gpt-4o is usually more accurate (larger cloud model). DenseNet is faster than vision LLMs.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keepNext/>
        <w:spacing w:before="240" w:after="120"/>
        <w:pBdr>
          <w:bottom w:val="single" w:sz="10" w:space="6" w:color="123C69"/>
        </w:pBdr>
      </w:pPr>
      <w:r>
        <w:rPr>
          <w:rFonts w:ascii="Calibri" w:hAnsi="Calibri" w:eastAsia="Calibri"/>
          <w:b/>
          <w:i w:val="0"/>
          <w:color w:val="123C69"/>
          <w:sz w:val="28"/>
        </w:rPr>
        <w:t>3. Five-service evaluation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1A2332"/>
          <w:sz w:val="20"/>
        </w:rPr>
        <w:t>Random sample of real services. Accuracy = approximate % for the default engine. Time = documented where available.</w:t>
      </w:r>
    </w:p>
    <w:tbl>
      <w:tblPr>
        <w:tblW w:type="dxa" w:w="1496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721"/>
        <w:gridCol w:w="2381"/>
        <w:gridCol w:w="2268"/>
        <w:gridCol w:w="3288"/>
        <w:gridCol w:w="2268"/>
      </w:tblGrid>
      <w:tr>
        <w:trPr>
          <w:tblHeader w:val="true"/>
          <w:cantSplit/>
        </w:trPr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AI Service</w:t>
            </w:r>
          </w:p>
        </w:tc>
        <w:tc>
          <w:tcPr>
            <w:tcW w:type="dxa" w:w="272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Function</w:t>
            </w:r>
          </w:p>
        </w:tc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Model / Engine</w:t>
            </w:r>
          </w:p>
        </w:tc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328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Result</w:t>
            </w:r>
          </w:p>
        </w:tc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ICU Summarizer</w:t>
            </w:r>
          </w:p>
        </w:tc>
        <w:tc>
          <w:tcPr>
            <w:tcW w:type="dxa" w:w="272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ICU summary / handoff</w:t>
            </w:r>
          </w:p>
        </w:tc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gpt-4o</w:t>
            </w:r>
          </w:p>
        </w:tc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Faithfulness to flowsheet</w:t>
            </w:r>
          </w:p>
        </w:tc>
        <w:tc>
          <w:tcPr>
            <w:tcW w:type="dxa" w:w="328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Accuracy 85%   Time 10–30 s</w:t>
            </w:r>
          </w:p>
        </w:tc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EXISTING tests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Image Interpretation</w:t>
            </w:r>
          </w:p>
        </w:tc>
        <w:tc>
          <w:tcPr>
            <w:tcW w:type="dxa" w:w="272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CXR/CT candidate findings</w:t>
            </w:r>
          </w:p>
        </w:tc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DenseNet + vision LLM</w:t>
            </w:r>
          </w:p>
        </w:tc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Finding detection</w:t>
            </w:r>
          </w:p>
        </w:tc>
        <w:tc>
          <w:tcPr>
            <w:tcW w:type="dxa" w:w="328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Accuracy 80%   Time not formally measured</w:t>
            </w:r>
          </w:p>
        </w:tc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MVP; radiologist review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Sepsis Early Detection</w:t>
            </w:r>
          </w:p>
        </w:tc>
        <w:tc>
          <w:tcPr>
            <w:tcW w:type="dxa" w:w="272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Sepsis risk assessment</w:t>
            </w:r>
          </w:p>
        </w:tc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gpt-4o</w:t>
            </w:r>
          </w:p>
        </w:tc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Schema / risk fields</w:t>
            </w:r>
          </w:p>
        </w:tc>
        <w:tc>
          <w:tcPr>
            <w:tcW w:type="dxa" w:w="328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Accuracy 75%   Time not formally measured</w:t>
            </w:r>
          </w:p>
        </w:tc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EXISTING tests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Smart Discharge Planner</w:t>
            </w:r>
          </w:p>
        </w:tc>
        <w:tc>
          <w:tcPr>
            <w:tcW w:type="dxa" w:w="272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Discharge readiness support</w:t>
            </w:r>
          </w:p>
        </w:tc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gpt-4o</w:t>
            </w:r>
          </w:p>
        </w:tc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Readiness vs input</w:t>
            </w:r>
          </w:p>
        </w:tc>
        <w:tc>
          <w:tcPr>
            <w:tcW w:type="dxa" w:w="328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Accuracy 80%   Time not formally measured</w:t>
            </w:r>
          </w:p>
        </w:tc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EXISTING tests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Patient Timeline</w:t>
            </w:r>
          </w:p>
        </w:tc>
        <w:tc>
          <w:tcPr>
            <w:tcW w:type="dxa" w:w="272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Source-traced event timeline</w:t>
            </w:r>
          </w:p>
        </w:tc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gpt-4o</w:t>
            </w:r>
          </w:p>
        </w:tc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Event capture</w:t>
            </w:r>
          </w:p>
        </w:tc>
        <w:tc>
          <w:tcPr>
            <w:tcW w:type="dxa" w:w="328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Accuracy 85%   Time not formally measured</w:t>
            </w:r>
          </w:p>
        </w:tc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EXISTING tests</w:t>
            </w:r>
          </w:p>
        </w:tc>
      </w:tr>
    </w:tbl>
    <w:p>
      <w:pPr>
        <w:spacing w:after="120"/>
      </w:pPr>
    </w:p>
    <w:p>
      <w:pPr>
        <w:spacing w:after="80" w:line="264" w:lineRule="auto"/>
      </w:pPr>
      <w:r>
        <w:rPr>
          <w:rFonts w:ascii="Calibri" w:hAnsi="Calibri" w:eastAsia="Calibri"/>
          <w:b w:val="0"/>
          <w:i/>
          <w:color w:val="5A6A7A"/>
          <w:sz w:val="18"/>
        </w:rPr>
        <w:t>These percentages are engineering estimates, not South African or production validation results.</w:t>
      </w:r>
    </w:p>
    <w:p>
      <w:pPr>
        <w:sectPr>
          <w:pgSz w:w="16838" w:h="11906" w:orient="landscape"/>
          <w:pgMar w:top="964" w:right="907" w:bottom="850" w:left="907" w:header="720" w:footer="720" w:gutter="0"/>
          <w:cols w:space="720"/>
          <w:docGrid w:linePitch="360"/>
        </w:sectPr>
      </w:pPr>
    </w:p>
    <w:p>
      <w:pPr>
        <w:keepNext/>
        <w:spacing w:before="240" w:after="120"/>
        <w:pBdr>
          <w:bottom w:val="single" w:sz="10" w:space="6" w:color="123C69"/>
        </w:pBdr>
      </w:pPr>
      <w:r>
        <w:rPr>
          <w:rFonts w:ascii="Calibri" w:hAnsi="Calibri" w:eastAsia="Calibri"/>
          <w:b/>
          <w:i w:val="0"/>
          <w:color w:val="123C69"/>
          <w:sz w:val="28"/>
        </w:rPr>
        <w:t>4. Architecture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1A2332"/>
          <w:sz w:val="21"/>
        </w:rPr>
        <w:t>EXISTING microservice design. Write-back to the patient record is proposed.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123C69"/>
              <w:left w:val="single" w:sz="8" w:space="0" w:color="123C69"/>
              <w:bottom w:val="single" w:sz="8" w:space="0" w:color="123C69"/>
              <w:right w:val="single" w:sz="8" w:space="0" w:color="123C6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23C69"/>
                <w:sz w:val="22"/>
              </w:rPr>
              <w:t>Clinical Data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6F4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2"/>
              </w:rPr>
              <w:t>Integration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6F4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2"/>
              </w:rPr>
              <w:t>AI Orchestration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6F4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2"/>
              </w:rPr>
              <w:t>AI Service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6F4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2"/>
              </w:rPr>
              <w:t>AI Engine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6F4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2"/>
              </w:rPr>
              <w:t>Validation / Grounding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123C69"/>
              <w:left w:val="single" w:sz="8" w:space="0" w:color="123C69"/>
              <w:bottom w:val="single" w:sz="8" w:space="0" w:color="123C69"/>
              <w:right w:val="single" w:sz="8" w:space="0" w:color="123C6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23C69"/>
                <w:sz w:val="22"/>
              </w:rPr>
              <w:t>AI Output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123C69"/>
              <w:left w:val="single" w:sz="8" w:space="0" w:color="123C69"/>
              <w:bottom w:val="single" w:sz="8" w:space="0" w:color="123C69"/>
              <w:right w:val="single" w:sz="8" w:space="0" w:color="123C6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23C69"/>
                <w:sz w:val="22"/>
              </w:rPr>
              <w:t>Clinician Review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C9842A"/>
              <w:left w:val="single" w:sz="8" w:space="0" w:color="C9842A"/>
              <w:bottom w:val="single" w:sz="8" w:space="0" w:color="C9842A"/>
              <w:right w:val="single" w:sz="8" w:space="0" w:color="C9842A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EF6E8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22"/>
              </w:rPr>
              <w:t>Approved Workflow</w:t>
            </w:r>
          </w:p>
        </w:tc>
      </w:tr>
    </w:tbl>
    <w:p>
      <w:pPr>
        <w:spacing w:after="120"/>
      </w:pPr>
    </w:p>
    <w:p>
      <w:pPr>
        <w:spacing w:after="160" w:line="264" w:lineRule="auto"/>
      </w:pPr>
      <w:r>
        <w:rPr>
          <w:rFonts w:ascii="Calibri" w:hAnsi="Calibri" w:eastAsia="Calibri"/>
          <w:b w:val="0"/>
          <w:i w:val="0"/>
          <w:color w:val="5A6A7A"/>
          <w:sz w:val="20"/>
        </w:rPr>
        <w:t>Audit layer: chatbot history log and interpretation audit log exist. Full enterprise audit is proposed.</w:t>
      </w:r>
    </w:p>
    <w:p>
      <w:pPr>
        <w:keepNext/>
        <w:spacing w:before="240" w:after="120"/>
        <w:pBdr>
          <w:bottom w:val="single" w:sz="10" w:space="6" w:color="123C69"/>
        </w:pBdr>
      </w:pPr>
      <w:r>
        <w:rPr>
          <w:rFonts w:ascii="Calibri" w:hAnsi="Calibri" w:eastAsia="Calibri"/>
          <w:b/>
          <w:i w:val="0"/>
          <w:color w:val="123C69"/>
          <w:sz w:val="28"/>
        </w:rPr>
        <w:t>5. Output, review and audit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7030"/>
      </w:tblGrid>
      <w:tr>
        <w:trPr>
          <w:tblHeader w:val="true"/>
          <w:cantSplit/>
        </w:trPr>
        <w:tc>
          <w:tcPr>
            <w:tcW w:type="dxa" w:w="2835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030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Today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Source / provenance</w:t>
            </w:r>
          </w:p>
        </w:tc>
        <w:tc>
          <w:tcPr>
            <w:tcW w:type="dxa" w:w="7030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On auto-population, timeline, alerts, billing, discharge drafts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Model + time</w:t>
            </w:r>
          </w:p>
        </w:tc>
        <w:tc>
          <w:tcPr>
            <w:tcW w:type="dxa" w:w="7030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On several service metadata / audit logs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Clinician review</w:t>
            </w:r>
          </w:p>
        </w:tc>
        <w:tc>
          <w:tcPr>
            <w:tcW w:type="dxa" w:w="7030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Review-required flags; radiology Approve &amp; Save / QA override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Accept / edit / reject rates</w:t>
            </w:r>
          </w:p>
        </w:tc>
        <w:tc>
          <w:tcPr>
            <w:tcW w:type="dxa" w:w="7030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Not formally measured</w:t>
            </w:r>
          </w:p>
        </w:tc>
      </w:tr>
    </w:tbl>
    <w:p>
      <w:pPr>
        <w:spacing w:after="120"/>
      </w:pPr>
    </w:p>
    <w:p>
      <w:pPr>
        <w:keepNext/>
        <w:spacing w:before="240" w:after="120"/>
        <w:pBdr>
          <w:bottom w:val="single" w:sz="10" w:space="6" w:color="123C69"/>
        </w:pBdr>
      </w:pPr>
      <w:r>
        <w:rPr>
          <w:rFonts w:ascii="Calibri" w:hAnsi="Calibri" w:eastAsia="Calibri"/>
          <w:b/>
          <w:i w:val="0"/>
          <w:color w:val="123C69"/>
          <w:sz w:val="28"/>
        </w:rPr>
        <w:t>6. Validation method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123C69"/>
              <w:left w:val="single" w:sz="8" w:space="0" w:color="123C69"/>
              <w:bottom w:val="single" w:sz="8" w:space="0" w:color="123C69"/>
              <w:right w:val="single" w:sz="8" w:space="0" w:color="123C6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23C69"/>
                <w:sz w:val="22"/>
              </w:rPr>
              <w:t>1 Intended use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6F4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2"/>
              </w:rPr>
              <w:t>2 Model evaluation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6F4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2"/>
              </w:rPr>
              <w:t>3 Reference dataset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6F4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2"/>
              </w:rPr>
              <w:t>4 Performance test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6F4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2"/>
              </w:rPr>
              <w:t>5 Population / equity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123C69"/>
              <w:left w:val="single" w:sz="8" w:space="0" w:color="123C69"/>
              <w:bottom w:val="single" w:sz="8" w:space="0" w:color="123C69"/>
              <w:right w:val="single" w:sz="8" w:space="0" w:color="123C6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23C69"/>
                <w:sz w:val="22"/>
              </w:rPr>
              <w:t>6 Clinician review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123C69"/>
              <w:left w:val="single" w:sz="8" w:space="0" w:color="123C69"/>
              <w:bottom w:val="single" w:sz="8" w:space="0" w:color="123C69"/>
              <w:right w:val="single" w:sz="8" w:space="0" w:color="123C6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23C69"/>
                <w:sz w:val="22"/>
              </w:rPr>
              <w:t>7 Governance decision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C9842A"/>
              <w:left w:val="single" w:sz="8" w:space="0" w:color="C9842A"/>
              <w:bottom w:val="single" w:sz="8" w:space="0" w:color="C9842A"/>
              <w:right w:val="single" w:sz="8" w:space="0" w:color="C9842A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EF6E8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22"/>
              </w:rPr>
              <w:t>8 Monitor &amp; revalidate</w:t>
            </w:r>
          </w:p>
        </w:tc>
      </w:tr>
    </w:tbl>
    <w:p>
      <w:pPr>
        <w:spacing w:after="120"/>
      </w:pPr>
    </w:p>
    <w:p>
      <w:pPr>
        <w:spacing w:after="160" w:line="264" w:lineRule="auto"/>
      </w:pPr>
      <w:r>
        <w:rPr>
          <w:rFonts w:ascii="Calibri" w:hAnsi="Calibri" w:eastAsia="Calibri"/>
          <w:b w:val="0"/>
          <w:i w:val="0"/>
          <w:color w:val="1A2332"/>
          <w:sz w:val="21"/>
        </w:rPr>
        <w:t>Pass / conditional / remediate / not suitable. Thresholds are set by Life Healthcare clinical governance. No labelled Life Healthcare dataset exists yet.</w:t>
      </w:r>
    </w:p>
    <w:p>
      <w:pPr>
        <w:keepNext/>
        <w:spacing w:before="240" w:after="120"/>
        <w:pBdr>
          <w:bottom w:val="single" w:sz="10" w:space="6" w:color="123C69"/>
        </w:pBdr>
      </w:pPr>
      <w:r>
        <w:rPr>
          <w:rFonts w:ascii="Calibri" w:hAnsi="Calibri" w:eastAsia="Calibri"/>
          <w:b/>
          <w:i w:val="0"/>
          <w:color w:val="123C69"/>
          <w:sz w:val="28"/>
        </w:rPr>
        <w:t>7. Bias, SA validation and monitoring</w:t>
      </w:r>
    </w:p>
    <w:p>
      <w:pPr>
        <w:spacing w:after="160"/>
        <w:shd w:fill="FEF6E8" w:val="clear"/>
        <w:pBdr>
          <w:left w:val="single" w:sz="22" w:space="6" w:color="B45309"/>
        </w:pBdr>
      </w:pPr>
      <w:r>
        <w:rPr>
          <w:rFonts w:ascii="Calibri" w:hAnsi="Calibri" w:eastAsia="Calibri"/>
          <w:b w:val="0"/>
          <w:i w:val="0"/>
          <w:color w:val="1A2332"/>
          <w:sz w:val="20"/>
        </w:rPr>
        <w:t>South African population-specific validation is proposed before production and is not completed evidence.</w:t>
      </w:r>
    </w:p>
    <w:p>
      <w:pPr>
        <w:pStyle w:val="ListNumber"/>
        <w:spacing w:after="20"/>
      </w:pPr>
      <w:r>
        <w:rPr>
          <w:rFonts w:ascii="Calibri" w:hAnsi="Calibri" w:eastAsia="Calibri"/>
          <w:b w:val="0"/>
          <w:i w:val="0"/>
          <w:color w:val="1A2332"/>
          <w:sz w:val="21"/>
        </w:rPr>
        <w:t>Agree use case and SA population segments with Life Healthcare.</w:t>
      </w:r>
    </w:p>
    <w:p>
      <w:pPr>
        <w:pStyle w:val="ListNumber"/>
        <w:spacing w:after="20"/>
      </w:pPr>
      <w:r>
        <w:rPr>
          <w:rFonts w:ascii="Calibri" w:hAnsi="Calibri" w:eastAsia="Calibri"/>
          <w:b w:val="0"/>
          <w:i w:val="0"/>
          <w:color w:val="1A2332"/>
          <w:sz w:val="21"/>
        </w:rPr>
        <w:t>Build a reference dataset and test the selected engine.</w:t>
      </w:r>
    </w:p>
    <w:p>
      <w:pPr>
        <w:pStyle w:val="ListNumber"/>
        <w:spacing w:after="20"/>
      </w:pPr>
      <w:r>
        <w:rPr>
          <w:rFonts w:ascii="Calibri" w:hAnsi="Calibri" w:eastAsia="Calibri"/>
          <w:b w:val="0"/>
          <w:i w:val="0"/>
          <w:color w:val="1A2332"/>
          <w:sz w:val="21"/>
        </w:rPr>
        <w:t>Compare accuracy by subgroup; investigate material gaps.</w:t>
      </w:r>
    </w:p>
    <w:p>
      <w:pPr>
        <w:pStyle w:val="ListNumber"/>
        <w:spacing w:after="20"/>
      </w:pPr>
      <w:r>
        <w:rPr>
          <w:rFonts w:ascii="Calibri" w:hAnsi="Calibri" w:eastAsia="Calibri"/>
          <w:b w:val="0"/>
          <w:i w:val="0"/>
          <w:color w:val="1A2332"/>
          <w:sz w:val="21"/>
        </w:rPr>
        <w:t>Clinician review, then governance approval before go-live.</w:t>
      </w:r>
    </w:p>
    <w:p>
      <w:pPr>
        <w:pStyle w:val="ListNumber"/>
        <w:spacing w:after="20"/>
      </w:pPr>
      <w:r>
        <w:rPr>
          <w:rFonts w:ascii="Calibri" w:hAnsi="Calibri" w:eastAsia="Calibri"/>
          <w:b w:val="0"/>
          <w:i w:val="0"/>
          <w:color w:val="1A2332"/>
          <w:sz w:val="21"/>
        </w:rPr>
        <w:t>After go-live: watch drift, overrides, incidents and model changes; revalidate when needed.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1701"/>
        <w:gridCol w:w="1360"/>
        <w:gridCol w:w="1474"/>
        <w:gridCol w:w="1474"/>
        <w:gridCol w:w="1927"/>
      </w:tblGrid>
      <w:tr>
        <w:trPr>
          <w:tblHeader w:val="true"/>
          <w:cantSplit/>
        </w:trPr>
        <w:tc>
          <w:tcPr>
            <w:tcW w:type="dxa" w:w="1927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170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Group</w:t>
            </w:r>
          </w:p>
        </w:tc>
        <w:tc>
          <w:tcPr>
            <w:tcW w:type="dxa" w:w="1360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Cases</w:t>
            </w:r>
          </w:p>
        </w:tc>
        <w:tc>
          <w:tcPr>
            <w:tcW w:type="dxa" w:w="147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Accuracy</w:t>
            </w:r>
          </w:p>
        </w:tc>
        <w:tc>
          <w:tcPr>
            <w:tcW w:type="dxa" w:w="147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Override</w:t>
            </w:r>
          </w:p>
        </w:tc>
        <w:tc>
          <w:tcPr>
            <w:tcW w:type="dxa" w:w="1927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Selected service</w:t>
            </w:r>
          </w:p>
        </w:tc>
        <w:tc>
          <w:tcPr>
            <w:tcW w:type="dxa" w:w="170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To be agreed</w:t>
            </w:r>
          </w:p>
        </w:tc>
        <w:tc>
          <w:tcPr>
            <w:tcW w:type="dxa" w:w="1360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—</w:t>
            </w:r>
          </w:p>
        </w:tc>
        <w:tc>
          <w:tcPr>
            <w:tcW w:type="dxa" w:w="147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—</w:t>
            </w:r>
          </w:p>
        </w:tc>
        <w:tc>
          <w:tcPr>
            <w:tcW w:type="dxa" w:w="147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—</w:t>
            </w:r>
          </w:p>
        </w:tc>
        <w:tc>
          <w:tcPr>
            <w:tcW w:type="dxa" w:w="1927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To be populated</w:t>
            </w:r>
          </w:p>
        </w:tc>
      </w:tr>
    </w:tbl>
    <w:p>
      <w:pPr>
        <w:spacing w:after="120"/>
      </w:pPr>
    </w:p>
    <w:p>
      <w:pPr>
        <w:keepNext/>
        <w:spacing w:before="240" w:after="120"/>
        <w:pBdr>
          <w:bottom w:val="single" w:sz="10" w:space="6" w:color="123C69"/>
        </w:pBdr>
      </w:pPr>
      <w:r>
        <w:rPr>
          <w:rFonts w:ascii="Calibri" w:hAnsi="Calibri" w:eastAsia="Calibri"/>
          <w:b/>
          <w:i w:val="0"/>
          <w:color w:val="123C69"/>
          <w:sz w:val="28"/>
        </w:rPr>
        <w:t>8. RFP 7.9 evidence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4762"/>
      </w:tblGrid>
      <w:tr>
        <w:trPr>
          <w:tblHeader w:val="true"/>
          <w:cantSplit/>
        </w:trPr>
        <w:tc>
          <w:tcPr>
            <w:tcW w:type="dxa" w:w="5103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476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5103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AI engine R&amp;D evaluation</w:t>
            </w:r>
          </w:p>
        </w:tc>
        <w:tc>
          <w:tcPr>
            <w:tcW w:type="dxa" w:w="476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Existing (approx. accuracy above)</w:t>
            </w:r>
          </w:p>
        </w:tc>
      </w:tr>
      <w:tr>
        <w:trPr>
          <w:cantSplit/>
        </w:trPr>
        <w:tc>
          <w:tcPr>
            <w:tcW w:type="dxa" w:w="5103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Model-agnostic architecture</w:t>
            </w:r>
          </w:p>
        </w:tc>
        <w:tc>
          <w:tcPr>
            <w:tcW w:type="dxa" w:w="476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Existing</w:t>
            </w:r>
          </w:p>
        </w:tc>
      </w:tr>
      <w:tr>
        <w:trPr>
          <w:cantSplit/>
        </w:trPr>
        <w:tc>
          <w:tcPr>
            <w:tcW w:type="dxa" w:w="5103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Output provenance</w:t>
            </w:r>
          </w:p>
        </w:tc>
        <w:tc>
          <w:tcPr>
            <w:tcW w:type="dxa" w:w="476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Existing</w:t>
            </w:r>
          </w:p>
        </w:tc>
      </w:tr>
      <w:tr>
        <w:trPr>
          <w:cantSplit/>
        </w:trPr>
        <w:tc>
          <w:tcPr>
            <w:tcW w:type="dxa" w:w="5103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Clinician review workflow</w:t>
            </w:r>
          </w:p>
        </w:tc>
        <w:tc>
          <w:tcPr>
            <w:tcW w:type="dxa" w:w="476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Existing</w:t>
            </w:r>
          </w:p>
        </w:tc>
      </w:tr>
      <w:tr>
        <w:trPr>
          <w:cantSplit/>
        </w:trPr>
        <w:tc>
          <w:tcPr>
            <w:tcW w:type="dxa" w:w="5103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Clinical validation framework</w:t>
            </w:r>
          </w:p>
        </w:tc>
        <w:tc>
          <w:tcPr>
            <w:tcW w:type="dxa" w:w="476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Proposed</w:t>
            </w:r>
          </w:p>
        </w:tc>
      </w:tr>
      <w:tr>
        <w:trPr>
          <w:cantSplit/>
        </w:trPr>
        <w:tc>
          <w:tcPr>
            <w:tcW w:type="dxa" w:w="5103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Equity / bias monitoring</w:t>
            </w:r>
          </w:p>
        </w:tc>
        <w:tc>
          <w:tcPr>
            <w:tcW w:type="dxa" w:w="476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Proposed</w:t>
            </w:r>
          </w:p>
        </w:tc>
      </w:tr>
      <w:tr>
        <w:trPr>
          <w:cantSplit/>
        </w:trPr>
        <w:tc>
          <w:tcPr>
            <w:tcW w:type="dxa" w:w="5103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South African validation</w:t>
            </w:r>
          </w:p>
        </w:tc>
        <w:tc>
          <w:tcPr>
            <w:tcW w:type="dxa" w:w="476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To be validated</w:t>
            </w:r>
          </w:p>
        </w:tc>
      </w:tr>
    </w:tbl>
    <w:p>
      <w:pPr>
        <w:spacing w:after="120"/>
      </w:pPr>
    </w:p>
    <w:sectPr w:rsidR="00FC693F" w:rsidRPr="0006063C" w:rsidSect="00034616"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6" w:color="123C69"/>
      </w:pBdr>
      <w:pBdr>
        <w:top w:val="single" w:sz="8" w:space="6" w:color="123C69"/>
      </w:pBdr>
      <w:pBdr>
        <w:top w:val="single" w:sz="8" w:space="6" w:color="123C69"/>
      </w:pBdr>
    </w:pPr>
    <w:r>
      <w:rPr>
        <w:rFonts w:ascii="Calibri" w:hAnsi="Calibri" w:eastAsia="Calibri"/>
        <w:b w:val="0"/>
        <w:i w:val="0"/>
        <w:color w:val="5A6A7A"/>
        <w:sz w:val="16"/>
      </w:rPr>
      <w:t xml:space="preserve">Confidential  ·  17 August 2026  ·  v3.0  ·  </w:t>
    </w:r>
    <w:r>
      <w:rPr>
        <w:rFonts w:ascii="Calibri" w:hAnsi="Calibri" w:eastAsia="Calibri"/>
        <w:b w:val="0"/>
        <w:i w:val="0"/>
        <w:color w:val="5A6A7A"/>
        <w:sz w:val="16"/>
      </w:rPr>
      <w:t xml:space="preserve">Page </w:t>
    </w:r>
    <w:r>
      <w:rPr>
        <w:rFonts w:ascii="Calibri" w:hAnsi="Calibri" w:eastAsia="Calibri"/>
        <w:b w:val="0"/>
        <w:i w:val="0"/>
        <w:color w:val="5A6A7A"/>
        <w:sz w:val="16"/>
      </w:rPr>
      <w:fldChar w:fldCharType="begin"/>
    </w:r>
    <w:r>
      <w:rPr>
        <w:rFonts w:ascii="Calibri" w:hAnsi="Calibri" w:eastAsia="Calibri"/>
        <w:b w:val="0"/>
        <w:i w:val="0"/>
        <w:color w:val="5A6A7A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5A6A7A"/>
        <w:sz w:val="16"/>
      </w:rPr>
      <w:fldChar w:fldCharType="end"/>
    </w:r>
    <w:r>
      <w:rPr>
        <w:rFonts w:ascii="Calibri" w:hAnsi="Calibri" w:eastAsia="Calibri"/>
        <w:b w:val="0"/>
        <w:i w:val="0"/>
        <w:color w:val="5A6A7A"/>
        <w:sz w:val="16"/>
      </w:rPr>
      <w:t xml:space="preserve"> of </w:t>
    </w:r>
    <w:r>
      <w:rPr>
        <w:rFonts w:ascii="Calibri" w:hAnsi="Calibri" w:eastAsia="Calibri"/>
        <w:b w:val="0"/>
        <w:i w:val="0"/>
        <w:color w:val="5A6A7A"/>
        <w:sz w:val="16"/>
      </w:rPr>
      <w:fldChar w:fldCharType="begin"/>
    </w:r>
    <w:r>
      <w:rPr>
        <w:rFonts w:ascii="Calibri" w:hAnsi="Calibri" w:eastAsia="Calibri"/>
        <w:b w:val="0"/>
        <w:i w:val="0"/>
        <w:color w:val="5A6A7A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5A6A7A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6" w:space="6" w:color="123C69"/>
      </w:pBdr>
      <w:pBdr>
        <w:bottom w:val="single" w:sz="16" w:space="6" w:color="123C69"/>
      </w:pBdr>
      <w:pBdr>
        <w:bottom w:val="single" w:sz="16" w:space="6" w:color="123C69"/>
      </w:pBdr>
    </w:pPr>
    <w:r>
      <w:rPr>
        <w:rFonts w:ascii="Calibri" w:hAnsi="Calibri" w:eastAsia="Calibri"/>
        <w:b/>
        <w:i w:val="0"/>
        <w:color w:val="123C69"/>
        <w:sz w:val="20"/>
      </w:rPr>
      <w:t>AI Solution Provider</w:t>
    </w:r>
    <w:r>
      <w:rPr>
        <w:rFonts w:ascii="Calibri" w:hAnsi="Calibri" w:eastAsia="Calibri"/>
        <w:b w:val="0"/>
        <w:i w:val="0"/>
        <w:color w:val="5A6A7A"/>
        <w:sz w:val="18"/>
      </w:rPr>
      <w:t xml:space="preserve">  |  Life Healthcare RFP 7.9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