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0F766E"/>
          <w:sz w:val="18"/>
        </w:rPr>
        <w:t>RFP 7.9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23C69"/>
          <w:sz w:val="40"/>
        </w:rPr>
        <w:t>AI Clinical Validation &amp; Equity Assessment</w:t>
      </w:r>
    </w:p>
    <w:p>
      <w:pPr>
        <w:spacing w:after="160" w:line="264" w:lineRule="auto"/>
      </w:pPr>
      <w:r>
        <w:rPr>
          <w:rFonts w:ascii="Calibri" w:hAnsi="Calibri" w:eastAsia="Calibri"/>
          <w:b w:val="0"/>
          <w:i w:val="0"/>
          <w:color w:val="5A6A7A"/>
          <w:sz w:val="22"/>
        </w:rPr>
        <w:t>Life Healthcare  ·  AI Solution Provider  ·  17 August 2026  ·  Version 4.0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484"/>
      </w:tblGrid>
      <w:tr>
        <w:trPr>
          <w:tblHeader w:val="true"/>
          <w:cantSplit/>
        </w:trPr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Purpose</w:t>
            </w:r>
          </w:p>
        </w:tc>
        <w:tc>
          <w:tcPr>
            <w:tcW w:type="dxa" w:w="748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Evidence for AI evaluation, validation, bias and population performance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Status</w:t>
            </w:r>
          </w:p>
        </w:tc>
        <w:tc>
          <w:tcPr>
            <w:tcW w:type="dxa" w:w="748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Proposed / Pre-production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Accuracy / time</w:t>
            </w:r>
          </w:p>
        </w:tc>
        <w:tc>
          <w:tcPr>
            <w:tcW w:type="dxa" w:w="748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Approximate expected values for R&amp;D comparison — not a clinical trial</w:t>
            </w:r>
          </w:p>
        </w:tc>
      </w:tr>
    </w:tbl>
    <w:p>
      <w:pPr>
        <w:spacing w:after="120"/>
      </w:pPr>
    </w:p>
    <w:p>
      <w:pPr>
        <w:spacing w:after="160"/>
        <w:shd w:fill="FEF6E8" w:val="clear"/>
        <w:pBdr>
          <w:left w:val="single" w:sz="22" w:space="6" w:color="B45309"/>
        </w:pBdr>
      </w:pPr>
      <w:r>
        <w:rPr>
          <w:rFonts w:ascii="Calibri" w:hAnsi="Calibri" w:eastAsia="Calibri"/>
          <w:b w:val="0"/>
          <w:i w:val="0"/>
          <w:color w:val="1A2332"/>
          <w:sz w:val="20"/>
        </w:rPr>
        <w:t>South African population validation has not been completed. Life Healthcare has final authority on engine selection, clinical acceptance and production go-live.</w:t>
      </w: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1. Summary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1A2332"/>
          <w:sz w:val="21"/>
        </w:rPr>
        <w:t>AI engines are chosen per use case. Services can use a local model (Qwen) or a cloud GPT model. The current configured default in the codebase is gpt-4o. GPT-5.6 Sol is included as the largest / best OpenAI flagship candidate for comparison. Outputs are assistive and require clinician review.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EXISTING: engines, architecture, provenance, review flags, engineering tests.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PROPOSED: clinical validation, equity assessment, production monitoring.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Accuracy and time below are expected values for comparison, not Life Healthcare measured results.</w:t>
      </w: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2. Model comparison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268"/>
        <w:gridCol w:w="1247"/>
        <w:gridCol w:w="1814"/>
        <w:gridCol w:w="2494"/>
      </w:tblGrid>
      <w:tr>
        <w:trPr>
          <w:tblHeader w:val="true"/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Engine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Use</w:t>
            </w:r>
          </w:p>
        </w:tc>
        <w:tc>
          <w:tcPr>
            <w:tcW w:type="dxa" w:w="124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Accuracy</w:t>
            </w:r>
          </w:p>
        </w:tc>
        <w:tc>
          <w:tcPr>
            <w:tcW w:type="dxa" w:w="181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Expected time</w:t>
            </w:r>
          </w:p>
        </w:tc>
        <w:tc>
          <w:tcPr>
            <w:tcW w:type="dxa" w:w="249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GPT-5.6 Sol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Best / largest GPT (candidate)</w:t>
            </w:r>
          </w:p>
        </w:tc>
        <w:tc>
          <w:tcPr>
            <w:tcW w:type="dxa" w:w="124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93%</w:t>
            </w:r>
          </w:p>
        </w:tc>
        <w:tc>
          <w:tcPr>
            <w:tcW w:type="dxa" w:w="181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15–40 s</w:t>
            </w:r>
          </w:p>
        </w:tc>
        <w:tc>
          <w:tcPr>
            <w:tcW w:type="dxa" w:w="249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Highest quality; slower cloud flagship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gpt-4o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Current default LLM</w:t>
            </w:r>
          </w:p>
        </w:tc>
        <w:tc>
          <w:tcPr>
            <w:tcW w:type="dxa" w:w="124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85%</w:t>
            </w:r>
          </w:p>
        </w:tc>
        <w:tc>
          <w:tcPr>
            <w:tcW w:type="dxa" w:w="181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10–30 s</w:t>
            </w:r>
          </w:p>
        </w:tc>
        <w:tc>
          <w:tcPr>
            <w:tcW w:type="dxa" w:w="249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Configured default in most services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qwen3:1.7b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Local LLM</w:t>
            </w:r>
          </w:p>
        </w:tc>
        <w:tc>
          <w:tcPr>
            <w:tcW w:type="dxa" w:w="124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65%</w:t>
            </w:r>
          </w:p>
        </w:tc>
        <w:tc>
          <w:tcPr>
            <w:tcW w:type="dxa" w:w="181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3–15 s</w:t>
            </w:r>
          </w:p>
        </w:tc>
        <w:tc>
          <w:tcPr>
            <w:tcW w:type="dxa" w:w="249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Fastest LLM on GPU; data can stay on-site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DenseNet CXR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X-ray candidates</w:t>
            </w:r>
          </w:p>
        </w:tc>
        <w:tc>
          <w:tcPr>
            <w:tcW w:type="dxa" w:w="124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80%</w:t>
            </w:r>
          </w:p>
        </w:tc>
        <w:tc>
          <w:tcPr>
            <w:tcW w:type="dxa" w:w="181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1–5 s</w:t>
            </w:r>
          </w:p>
        </w:tc>
        <w:tc>
          <w:tcPr>
            <w:tcW w:type="dxa" w:w="249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Fastest imaging path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qwen2.5vl:3b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Local vision</w:t>
            </w:r>
          </w:p>
        </w:tc>
        <w:tc>
          <w:tcPr>
            <w:tcW w:type="dxa" w:w="124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70%</w:t>
            </w:r>
          </w:p>
        </w:tc>
        <w:tc>
          <w:tcPr>
            <w:tcW w:type="dxa" w:w="181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5–20 s</w:t>
            </w:r>
          </w:p>
        </w:tc>
        <w:tc>
          <w:tcPr>
            <w:tcW w:type="dxa" w:w="249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Faster than GPT vision; on-site images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GPT-5.6 Sol vision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CT / X-ray language overlay</w:t>
            </w:r>
          </w:p>
        </w:tc>
        <w:tc>
          <w:tcPr>
            <w:tcW w:type="dxa" w:w="124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90%</w:t>
            </w:r>
          </w:p>
        </w:tc>
        <w:tc>
          <w:tcPr>
            <w:tcW w:type="dxa" w:w="181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15–45 s</w:t>
            </w:r>
          </w:p>
        </w:tc>
        <w:tc>
          <w:tcPr>
            <w:tcW w:type="dxa" w:w="249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Best vision quality; slowest imaging LLM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Whisper medium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Speech-to-text</w:t>
            </w:r>
          </w:p>
        </w:tc>
        <w:tc>
          <w:tcPr>
            <w:tcW w:type="dxa" w:w="124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80%</w:t>
            </w:r>
          </w:p>
        </w:tc>
        <w:tc>
          <w:tcPr>
            <w:tcW w:type="dxa" w:w="181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Near real-time</w:t>
            </w:r>
          </w:p>
        </w:tc>
        <w:tc>
          <w:tcPr>
            <w:tcW w:type="dxa" w:w="249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Default STT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Whisper large-v3</w:t>
            </w:r>
          </w:p>
        </w:tc>
        <w:tc>
          <w:tcPr>
            <w:tcW w:type="dxa" w:w="2268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Speech-to-text</w:t>
            </w:r>
          </w:p>
        </w:tc>
        <w:tc>
          <w:tcPr>
            <w:tcW w:type="dxa" w:w="124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90%</w:t>
            </w:r>
          </w:p>
        </w:tc>
        <w:tc>
          <w:tcPr>
            <w:tcW w:type="dxa" w:w="181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Slower; GPU for live</w:t>
            </w:r>
          </w:p>
        </w:tc>
        <w:tc>
          <w:tcPr>
            <w:tcW w:type="dxa" w:w="249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Accuracy switch</w:t>
            </w:r>
          </w:p>
        </w:tc>
      </w:tr>
    </w:tbl>
    <w:p>
      <w:pPr>
        <w:spacing w:after="120"/>
      </w:pPr>
    </w:p>
    <w:p>
      <w:pPr>
        <w:spacing w:after="160" w:line="264" w:lineRule="auto"/>
      </w:pPr>
      <w:r>
        <w:rPr>
          <w:rFonts w:ascii="Calibri" w:hAnsi="Calibri" w:eastAsia="Calibri"/>
          <w:b w:val="0"/>
          <w:i w:val="0"/>
          <w:color w:val="5A6A7A"/>
          <w:sz w:val="20"/>
        </w:rPr>
        <w:t>Fastest LLM: Qwen 1.7B on GPU. Best quality: GPT-5.6 Sol. Balanced default today: gpt-4o. Fastest imaging: DenseNet. GPT-5.6 Sol is a candidate engine (OpenAI-compatible OPENAI_MODEL), not the current code default.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3. Five-service evaluation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1A2332"/>
          <w:sz w:val="20"/>
        </w:rPr>
        <w:t>Random sample of real services. Accuracy and expected time are for the default engine, with GPT-5.6 Sol shown as the best GPT option.</w:t>
      </w:r>
    </w:p>
    <w:tbl>
      <w:tblPr>
        <w:tblW w:type="dxa" w:w="1496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2381"/>
        <w:gridCol w:w="2835"/>
        <w:gridCol w:w="2041"/>
        <w:gridCol w:w="3742"/>
        <w:gridCol w:w="2041"/>
      </w:tblGrid>
      <w:tr>
        <w:trPr>
          <w:tblHeader w:val="true"/>
          <w:cantSplit/>
        </w:trPr>
        <w:tc>
          <w:tcPr>
            <w:tcW w:type="dxa" w:w="192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AI Service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Function</w:t>
            </w:r>
          </w:p>
        </w:tc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Model / Engine</w:t>
            </w:r>
          </w:p>
        </w:tc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374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Result</w:t>
            </w:r>
          </w:p>
        </w:tc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ICU Summarizer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ICU summary / handoff</w:t>
            </w:r>
          </w:p>
        </w:tc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gpt-4o (default); GPT-5.6 Sol (best GPT)</w:t>
            </w:r>
          </w:p>
        </w:tc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Faithfulness to flowsheet</w:t>
            </w:r>
          </w:p>
        </w:tc>
        <w:tc>
          <w:tcPr>
            <w:tcW w:type="dxa" w:w="374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gpt-4o: 85%, expected 10–30 s.  GPT-5.6 Sol: 93%, expected 15–40 s.</w:t>
            </w:r>
          </w:p>
        </w:tc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EXISTING tests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Image Interpretation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CXR/CT candidate findings</w:t>
            </w:r>
          </w:p>
        </w:tc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DenseNet; gpt-4o / qwen2.5vl:3b; GPT-5.6 Sol vision (best)</w:t>
            </w:r>
          </w:p>
        </w:tc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Finding detection</w:t>
            </w:r>
          </w:p>
        </w:tc>
        <w:tc>
          <w:tcPr>
            <w:tcW w:type="dxa" w:w="374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DenseNet: 80%, expected 1–5 s.  GPT-5.6 Sol vision: 90%, expected 15–45 s.</w:t>
            </w:r>
          </w:p>
        </w:tc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MVP; radiologist review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Sepsis Early Detection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Sepsis risk assessment</w:t>
            </w:r>
          </w:p>
        </w:tc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gpt-4o (default); GPT-5.6 Sol (best GPT)</w:t>
            </w:r>
          </w:p>
        </w:tc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Schema / risk fields</w:t>
            </w:r>
          </w:p>
        </w:tc>
        <w:tc>
          <w:tcPr>
            <w:tcW w:type="dxa" w:w="374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gpt-4o: 75%, expected 8–25 s.  GPT-5.6 Sol: 90%, expected 15–35 s.</w:t>
            </w:r>
          </w:p>
        </w:tc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EXISTING tests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Smart Discharge Planner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Discharge readiness support</w:t>
            </w:r>
          </w:p>
        </w:tc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gpt-4o (default); GPT-5.6 Sol (best GPT)</w:t>
            </w:r>
          </w:p>
        </w:tc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Readiness vs input</w:t>
            </w:r>
          </w:p>
        </w:tc>
        <w:tc>
          <w:tcPr>
            <w:tcW w:type="dxa" w:w="374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gpt-4o: 80%, expected 5–20 s.  GPT-5.6 Sol: 92%, expected 10–30 s.</w:t>
            </w:r>
          </w:p>
        </w:tc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EXISTING tests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Patient Timeline</w:t>
            </w:r>
          </w:p>
        </w:tc>
        <w:tc>
          <w:tcPr>
            <w:tcW w:type="dxa" w:w="238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Source-traced event timeline</w:t>
            </w:r>
          </w:p>
        </w:tc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gpt-4o (default); GPT-5.6 Sol (best GPT)</w:t>
            </w:r>
          </w:p>
        </w:tc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Event capture</w:t>
            </w:r>
          </w:p>
        </w:tc>
        <w:tc>
          <w:tcPr>
            <w:tcW w:type="dxa" w:w="374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gpt-4o: 85%, expected 5–20 s.  GPT-5.6 Sol: 93%, expected 10–30 s.</w:t>
            </w:r>
          </w:p>
        </w:tc>
        <w:tc>
          <w:tcPr>
            <w:tcW w:type="dxa" w:w="204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EXISTING tests</w:t>
            </w:r>
          </w:p>
        </w:tc>
      </w:tr>
    </w:tbl>
    <w:p>
      <w:pPr>
        <w:spacing w:after="120"/>
      </w:pPr>
    </w:p>
    <w:p>
      <w:pPr>
        <w:spacing w:after="80" w:line="264" w:lineRule="auto"/>
      </w:pPr>
      <w:r>
        <w:rPr>
          <w:rFonts w:ascii="Calibri" w:hAnsi="Calibri" w:eastAsia="Calibri"/>
          <w:b w:val="0"/>
          <w:i/>
          <w:color w:val="5A6A7A"/>
          <w:sz w:val="18"/>
        </w:rPr>
        <w:t>Expected times are engineering estimates (ICU 10–30 s is the documented gpt-4o range). Percentages are approximate, not South African validation.</w:t>
      </w:r>
    </w:p>
    <w:p>
      <w:pPr>
        <w:sectPr>
          <w:pgSz w:w="16838" w:h="11906" w:orient="landscape"/>
          <w:pgMar w:top="964" w:right="907" w:bottom="850" w:left="907" w:header="720" w:footer="720" w:gutter="0"/>
          <w:cols w:space="720"/>
          <w:docGrid w:linePitch="360"/>
        </w:sectPr>
      </w:pP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4. Architecture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1A2332"/>
          <w:sz w:val="21"/>
        </w:rPr>
        <w:t>EXISTING microservice design. Patient-record write-back is proposed.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123C69"/>
              <w:left w:val="single" w:sz="8" w:space="0" w:color="123C69"/>
              <w:bottom w:val="single" w:sz="8" w:space="0" w:color="123C69"/>
              <w:right w:val="single" w:sz="8" w:space="0" w:color="123C6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23C69"/>
                <w:sz w:val="22"/>
              </w:rPr>
              <w:t>Clinical Data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Integration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AI Orchestration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AI Service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AI Engine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Validation / Grounding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123C69"/>
              <w:left w:val="single" w:sz="8" w:space="0" w:color="123C69"/>
              <w:bottom w:val="single" w:sz="8" w:space="0" w:color="123C69"/>
              <w:right w:val="single" w:sz="8" w:space="0" w:color="123C6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23C69"/>
                <w:sz w:val="22"/>
              </w:rPr>
              <w:t>AI Output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123C69"/>
              <w:left w:val="single" w:sz="8" w:space="0" w:color="123C69"/>
              <w:bottom w:val="single" w:sz="8" w:space="0" w:color="123C69"/>
              <w:right w:val="single" w:sz="8" w:space="0" w:color="123C6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23C69"/>
                <w:sz w:val="22"/>
              </w:rPr>
              <w:t>Clinician Review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C9842A"/>
              <w:left w:val="single" w:sz="8" w:space="0" w:color="C9842A"/>
              <w:bottom w:val="single" w:sz="8" w:space="0" w:color="C9842A"/>
              <w:right w:val="single" w:sz="8" w:space="0" w:color="C9842A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EF6E8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22"/>
              </w:rPr>
              <w:t>Approved Workflow</w:t>
            </w:r>
          </w:p>
        </w:tc>
      </w:tr>
    </w:tbl>
    <w:p>
      <w:pPr>
        <w:spacing w:after="120"/>
      </w:pPr>
    </w:p>
    <w:p>
      <w:pPr>
        <w:spacing w:after="160" w:line="264" w:lineRule="auto"/>
      </w:pPr>
      <w:r>
        <w:rPr>
          <w:rFonts w:ascii="Calibri" w:hAnsi="Calibri" w:eastAsia="Calibri"/>
          <w:b w:val="0"/>
          <w:i w:val="0"/>
          <w:color w:val="5A6A7A"/>
          <w:sz w:val="20"/>
        </w:rPr>
        <w:t>Audit layer: chatbot history log and interpretation audit log exist. Full enterprise audit is proposed.</w:t>
      </w: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5. Output, review and audit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7030"/>
      </w:tblGrid>
      <w:tr>
        <w:trPr>
          <w:tblHeader w:val="true"/>
          <w:cantSplit/>
        </w:trPr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030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Today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Source / provenance</w:t>
            </w:r>
          </w:p>
        </w:tc>
        <w:tc>
          <w:tcPr>
            <w:tcW w:type="dxa" w:w="7030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On auto-population, timeline, alerts, billing, discharge drafts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Model + time</w:t>
            </w:r>
          </w:p>
        </w:tc>
        <w:tc>
          <w:tcPr>
            <w:tcW w:type="dxa" w:w="7030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On several service metadata / audit logs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Clinician review</w:t>
            </w:r>
          </w:p>
        </w:tc>
        <w:tc>
          <w:tcPr>
            <w:tcW w:type="dxa" w:w="7030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Review-required flags; radiology Approve &amp; Save / QA override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Accept / edit / reject rates</w:t>
            </w:r>
          </w:p>
        </w:tc>
        <w:tc>
          <w:tcPr>
            <w:tcW w:type="dxa" w:w="7030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To be captured in production monitoring</w:t>
            </w:r>
          </w:p>
        </w:tc>
      </w:tr>
    </w:tbl>
    <w:p>
      <w:pPr>
        <w:spacing w:after="120"/>
      </w:pP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6. Validation method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123C69"/>
              <w:left w:val="single" w:sz="8" w:space="0" w:color="123C69"/>
              <w:bottom w:val="single" w:sz="8" w:space="0" w:color="123C69"/>
              <w:right w:val="single" w:sz="8" w:space="0" w:color="123C6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23C69"/>
                <w:sz w:val="22"/>
              </w:rPr>
              <w:t>1 Intended use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2 Model evaluation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3 Reference dataset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4 Performance test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E6F4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2"/>
              </w:rPr>
              <w:t>5 Population / equity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123C69"/>
              <w:left w:val="single" w:sz="8" w:space="0" w:color="123C69"/>
              <w:bottom w:val="single" w:sz="8" w:space="0" w:color="123C69"/>
              <w:right w:val="single" w:sz="8" w:space="0" w:color="123C6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23C69"/>
                <w:sz w:val="22"/>
              </w:rPr>
              <w:t>6 Clinician review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123C69"/>
              <w:left w:val="single" w:sz="8" w:space="0" w:color="123C69"/>
              <w:bottom w:val="single" w:sz="8" w:space="0" w:color="123C69"/>
              <w:right w:val="single" w:sz="8" w:space="0" w:color="123C6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23C69"/>
                <w:sz w:val="22"/>
              </w:rPr>
              <w:t>7 Governance decision</w:t>
            </w:r>
          </w:p>
        </w:tc>
      </w:tr>
      <w:tr>
        <w:trPr>
          <w:cantSplit/>
        </w:trPr>
        <w:tc>
          <w:tcPr>
            <w:tcW w:type="dxa" w:w="986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↓</w:t>
            </w:r>
          </w:p>
        </w:tc>
      </w:tr>
      <w:tr>
        <w:trPr>
          <w:cantSplit/>
        </w:trPr>
        <w:tc>
          <w:tcPr>
            <w:tcW w:type="dxa" w:w="9865"/>
            <w:vAlign w:val="center"/>
            <w:tcBorders>
              <w:top w:val="single" w:sz="8" w:space="0" w:color="C9842A"/>
              <w:left w:val="single" w:sz="8" w:space="0" w:color="C9842A"/>
              <w:bottom w:val="single" w:sz="8" w:space="0" w:color="C9842A"/>
              <w:right w:val="single" w:sz="8" w:space="0" w:color="C9842A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EF6E8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B45309"/>
                <w:sz w:val="22"/>
              </w:rPr>
              <w:t>8 Monitor &amp; revalidate</w:t>
            </w:r>
          </w:p>
        </w:tc>
      </w:tr>
    </w:tbl>
    <w:p>
      <w:pPr>
        <w:spacing w:after="120"/>
      </w:pPr>
    </w:p>
    <w:p>
      <w:pPr>
        <w:spacing w:after="160" w:line="264" w:lineRule="auto"/>
      </w:pPr>
      <w:r>
        <w:rPr>
          <w:rFonts w:ascii="Calibri" w:hAnsi="Calibri" w:eastAsia="Calibri"/>
          <w:b w:val="0"/>
          <w:i w:val="0"/>
          <w:color w:val="1A2332"/>
          <w:sz w:val="21"/>
        </w:rPr>
        <w:t>Pass / conditional / remediate / not suitable. Thresholds are set by Life Healthcare clinical governance.</w:t>
      </w: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7. Bias, SA validation and monitoring</w:t>
      </w:r>
    </w:p>
    <w:p>
      <w:pPr>
        <w:spacing w:after="160"/>
        <w:shd w:fill="FEF6E8" w:val="clear"/>
        <w:pBdr>
          <w:left w:val="single" w:sz="22" w:space="6" w:color="B45309"/>
        </w:pBdr>
      </w:pPr>
      <w:r>
        <w:rPr>
          <w:rFonts w:ascii="Calibri" w:hAnsi="Calibri" w:eastAsia="Calibri"/>
          <w:b w:val="0"/>
          <w:i w:val="0"/>
          <w:color w:val="1A2332"/>
          <w:sz w:val="20"/>
        </w:rPr>
        <w:t>South African population-specific validation is proposed before production and is not completed evidence.</w:t>
      </w:r>
    </w:p>
    <w:p>
      <w:pPr>
        <w:pStyle w:val="ListNumber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Agree use case and SA population segments with Life Healthcare.</w:t>
      </w:r>
    </w:p>
    <w:p>
      <w:pPr>
        <w:pStyle w:val="ListNumber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Build a reference dataset and test the selected engine (including GPT-5.6 Sol if chosen).</w:t>
      </w:r>
    </w:p>
    <w:p>
      <w:pPr>
        <w:pStyle w:val="ListNumber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Compare accuracy by subgroup; investigate material gaps.</w:t>
      </w:r>
    </w:p>
    <w:p>
      <w:pPr>
        <w:pStyle w:val="ListNumber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Clinician review, then governance approval before go-live.</w:t>
      </w:r>
    </w:p>
    <w:p>
      <w:pPr>
        <w:pStyle w:val="ListNumber"/>
        <w:spacing w:after="20"/>
      </w:pPr>
      <w:r>
        <w:rPr>
          <w:rFonts w:ascii="Calibri" w:hAnsi="Calibri" w:eastAsia="Calibri"/>
          <w:b w:val="0"/>
          <w:i w:val="0"/>
          <w:color w:val="1A2332"/>
          <w:sz w:val="21"/>
        </w:rPr>
        <w:t>After go-live: watch drift, overrides, incidents and model changes; revalidate when needed.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1701"/>
        <w:gridCol w:w="1814"/>
        <w:gridCol w:w="1474"/>
        <w:gridCol w:w="1474"/>
        <w:gridCol w:w="1474"/>
      </w:tblGrid>
      <w:tr>
        <w:trPr>
          <w:tblHeader w:val="true"/>
          <w:cantSplit/>
        </w:trPr>
        <w:tc>
          <w:tcPr>
            <w:tcW w:type="dxa" w:w="192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170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Group</w:t>
            </w:r>
          </w:p>
        </w:tc>
        <w:tc>
          <w:tcPr>
            <w:tcW w:type="dxa" w:w="181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Cases</w:t>
            </w:r>
          </w:p>
        </w:tc>
        <w:tc>
          <w:tcPr>
            <w:tcW w:type="dxa" w:w="147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Accuracy</w:t>
            </w:r>
          </w:p>
        </w:tc>
        <w:tc>
          <w:tcPr>
            <w:tcW w:type="dxa" w:w="147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Override</w:t>
            </w:r>
          </w:p>
        </w:tc>
        <w:tc>
          <w:tcPr>
            <w:tcW w:type="dxa" w:w="147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Selected service</w:t>
            </w:r>
          </w:p>
        </w:tc>
        <w:tc>
          <w:tcPr>
            <w:tcW w:type="dxa" w:w="1701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To be agreed</w:t>
            </w:r>
          </w:p>
        </w:tc>
        <w:tc>
          <w:tcPr>
            <w:tcW w:type="dxa" w:w="181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Expected during validation</w:t>
            </w:r>
          </w:p>
        </w:tc>
        <w:tc>
          <w:tcPr>
            <w:tcW w:type="dxa" w:w="147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Expected during validation</w:t>
            </w:r>
          </w:p>
        </w:tc>
        <w:tc>
          <w:tcPr>
            <w:tcW w:type="dxa" w:w="147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Expected during validation</w:t>
            </w:r>
          </w:p>
        </w:tc>
        <w:tc>
          <w:tcPr>
            <w:tcW w:type="dxa" w:w="1474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19"/>
              </w:rPr>
              <w:t>Proposed</w:t>
            </w:r>
          </w:p>
        </w:tc>
      </w:tr>
    </w:tbl>
    <w:p>
      <w:pPr>
        <w:spacing w:after="120"/>
      </w:pPr>
    </w:p>
    <w:p>
      <w:pPr>
        <w:keepNext/>
        <w:spacing w:before="240" w:after="120"/>
        <w:pBdr>
          <w:bottom w:val="single" w:sz="10" w:space="6" w:color="123C69"/>
        </w:pBdr>
      </w:pPr>
      <w:r>
        <w:rPr>
          <w:rFonts w:ascii="Calibri" w:hAnsi="Calibri" w:eastAsia="Calibri"/>
          <w:b/>
          <w:i w:val="0"/>
          <w:color w:val="123C69"/>
          <w:sz w:val="28"/>
        </w:rPr>
        <w:t>8. RFP 7.9 evidence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4762"/>
      </w:tblGrid>
      <w:tr>
        <w:trPr>
          <w:tblHeader w:val="true"/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123C69" w:val="clea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AI engine R&amp;D evaluation (incl. GPT-5.6 Sol)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Existing comparison / proposed selection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Model-agnostic architecture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Existing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Output provenance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Existing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Clinician review workflow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Existing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Clinical validation framework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Equity / bias monitoring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6F9FB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5103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South African validation</w:t>
            </w:r>
          </w:p>
        </w:tc>
        <w:tc>
          <w:tcPr>
            <w:tcW w:type="dxa" w:w="4762"/>
            <w:vAlign w:val="center"/>
            <w:tcBorders>
              <w:top w:val="single" w:sz="4" w:space="0" w:color="C5D0DA"/>
              <w:left w:val="single" w:sz="4" w:space="0" w:color="C5D0DA"/>
              <w:bottom w:val="single" w:sz="4" w:space="0" w:color="C5D0DA"/>
              <w:right w:val="single" w:sz="4" w:space="0" w:color="C5D0DA"/>
            </w:tcBorders>
            <w:tcMar>
              <w:top w:w="60" w:type="dxa"/>
              <w:left w:w="80" w:type="dxa"/>
              <w:bottom w:w="60" w:type="dxa"/>
              <w:right w:w="80" w:type="dxa"/>
            </w:tcMar>
            <w:shd w:fill="FFFFFF" w:val="clea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i w:val="0"/>
                <w:color w:val="1A2332"/>
                <w:sz w:val="20"/>
              </w:rPr>
              <w:t>To be validated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6" w:color="123C69"/>
      </w:pBdr>
      <w:pBdr>
        <w:top w:val="single" w:sz="8" w:space="6" w:color="123C69"/>
      </w:pBdr>
      <w:pBdr>
        <w:top w:val="single" w:sz="8" w:space="6" w:color="123C69"/>
      </w:pBdr>
    </w:pPr>
    <w:r>
      <w:rPr>
        <w:rFonts w:ascii="Calibri" w:hAnsi="Calibri" w:eastAsia="Calibri"/>
        <w:b w:val="0"/>
        <w:i w:val="0"/>
        <w:color w:val="5A6A7A"/>
        <w:sz w:val="16"/>
      </w:rPr>
      <w:t xml:space="preserve">Confidential  ·  17 August 2026  ·  v4.0  ·  </w:t>
    </w:r>
    <w:r>
      <w:rPr>
        <w:rFonts w:ascii="Calibri" w:hAnsi="Calibri" w:eastAsia="Calibri"/>
        <w:b w:val="0"/>
        <w:i w:val="0"/>
        <w:color w:val="5A6A7A"/>
        <w:sz w:val="16"/>
      </w:rPr>
      <w:t xml:space="preserve">Page </w:t>
    </w:r>
    <w:r>
      <w:rPr>
        <w:rFonts w:ascii="Calibri" w:hAnsi="Calibri" w:eastAsia="Calibri"/>
        <w:b w:val="0"/>
        <w:i w:val="0"/>
        <w:color w:val="5A6A7A"/>
        <w:sz w:val="16"/>
      </w:rPr>
      <w:fldChar w:fldCharType="begin"/>
    </w:r>
    <w:r>
      <w:rPr>
        <w:rFonts w:ascii="Calibri" w:hAnsi="Calibri" w:eastAsia="Calibri"/>
        <w:b w:val="0"/>
        <w:i w:val="0"/>
        <w:color w:val="5A6A7A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5A6A7A"/>
        <w:sz w:val="16"/>
      </w:rPr>
      <w:fldChar w:fldCharType="end"/>
    </w:r>
    <w:r>
      <w:rPr>
        <w:rFonts w:ascii="Calibri" w:hAnsi="Calibri" w:eastAsia="Calibri"/>
        <w:b w:val="0"/>
        <w:i w:val="0"/>
        <w:color w:val="5A6A7A"/>
        <w:sz w:val="16"/>
      </w:rPr>
      <w:t xml:space="preserve"> of </w:t>
    </w:r>
    <w:r>
      <w:rPr>
        <w:rFonts w:ascii="Calibri" w:hAnsi="Calibri" w:eastAsia="Calibri"/>
        <w:b w:val="0"/>
        <w:i w:val="0"/>
        <w:color w:val="5A6A7A"/>
        <w:sz w:val="16"/>
      </w:rPr>
      <w:fldChar w:fldCharType="begin"/>
    </w:r>
    <w:r>
      <w:rPr>
        <w:rFonts w:ascii="Calibri" w:hAnsi="Calibri" w:eastAsia="Calibri"/>
        <w:b w:val="0"/>
        <w:i w:val="0"/>
        <w:color w:val="5A6A7A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5A6A7A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6" w:space="6" w:color="123C69"/>
      </w:pBdr>
      <w:pBdr>
        <w:bottom w:val="single" w:sz="16" w:space="6" w:color="123C69"/>
      </w:pBdr>
      <w:pBdr>
        <w:bottom w:val="single" w:sz="16" w:space="6" w:color="123C69"/>
      </w:pBdr>
    </w:pPr>
    <w:r>
      <w:rPr>
        <w:rFonts w:ascii="Calibri" w:hAnsi="Calibri" w:eastAsia="Calibri"/>
        <w:b/>
        <w:i w:val="0"/>
        <w:color w:val="123C69"/>
        <w:sz w:val="20"/>
      </w:rPr>
      <w:t>AI Solution Provider</w:t>
    </w:r>
    <w:r>
      <w:rPr>
        <w:rFonts w:ascii="Calibri" w:hAnsi="Calibri" w:eastAsia="Calibri"/>
        <w:b w:val="0"/>
        <w:i w:val="0"/>
        <w:color w:val="5A6A7A"/>
        <w:sz w:val="18"/>
      </w:rPr>
      <w:t xml:space="preserve">  |  Life Healthcare RFP 7.9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