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Calibri"/>
          <w:b/>
          <w:i w:val="0"/>
          <w:color w:val="0F766E"/>
          <w:sz w:val="18"/>
        </w:rPr>
        <w:t>RFP REQUIREMENT 7.9</w:t>
      </w:r>
    </w:p>
    <w:p>
      <w:pPr>
        <w:spacing w:after="80"/>
      </w:pPr>
      <w:r>
        <w:rPr>
          <w:rFonts w:ascii="Calibri" w:hAnsi="Calibri" w:eastAsia="Calibri"/>
          <w:b/>
          <w:i w:val="0"/>
          <w:color w:val="123C69"/>
          <w:sz w:val="44"/>
        </w:rPr>
        <w:t>AI Clinical Validation &amp;</w:t>
        <w:br/>
        <w:t>Equity Assessment Framework</w:t>
      </w:r>
    </w:p>
    <w:p>
      <w:pPr>
        <w:spacing w:after="240"/>
      </w:pPr>
      <w:r>
        <w:rPr>
          <w:rFonts w:ascii="Calibri" w:hAnsi="Calibri" w:eastAsia="Calibri"/>
          <w:b w:val="0"/>
          <w:i w:val="0"/>
          <w:color w:val="5A6A7A"/>
          <w:sz w:val="22"/>
        </w:rPr>
        <w:t>Model evaluation, clinical validation, bias monitoring and population-specific performance</w:t>
      </w:r>
    </w:p>
    <w:tbl>
      <w:tblPr>
        <w:tblW w:type="dxa" w:w="9979"/>
        <w:jc w:val="center"/>
        <w:tblLayout w:type="fixed"/>
        <w:tblLook w:firstColumn="1" w:firstRow="1" w:lastColumn="0" w:lastRow="0" w:noHBand="0" w:noVBand="1" w:val="04A0"/>
        <w:tblLayout w:type="fixed"/>
      </w:tblPr>
      <w:tblGrid>
        <w:gridCol w:w="2551"/>
        <w:gridCol w:w="7427"/>
      </w:tblGrid>
      <w:tr>
        <w:trPr>
          <w:tblHeader w:val="true"/>
          <w:cantSplit/>
        </w:trPr>
        <w:tc>
          <w:tcPr>
            <w:tcW w:type="dxa" w:w="255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Item</w:t>
            </w:r>
          </w:p>
        </w:tc>
        <w:tc>
          <w:tcPr>
            <w:tcW w:type="dxa" w:w="74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Value</w:t>
            </w:r>
          </w:p>
        </w:tc>
      </w:tr>
      <w:tr>
        <w:trPr>
          <w:cantSplit/>
        </w:trPr>
        <w:tc>
          <w:tcPr>
            <w:tcW w:type="dxa" w:w="255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Client</w:t>
            </w:r>
          </w:p>
        </w:tc>
        <w:tc>
          <w:tcPr>
            <w:tcW w:type="dxa" w:w="74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Life Healthcare</w:t>
            </w:r>
          </w:p>
        </w:tc>
      </w:tr>
      <w:tr>
        <w:trPr>
          <w:cantSplit/>
        </w:trPr>
        <w:tc>
          <w:tcPr>
            <w:tcW w:type="dxa" w:w="255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Provider</w:t>
            </w:r>
          </w:p>
        </w:tc>
        <w:tc>
          <w:tcPr>
            <w:tcW w:type="dxa" w:w="74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AI Solution Provider</w:t>
            </w:r>
          </w:p>
        </w:tc>
      </w:tr>
      <w:tr>
        <w:trPr>
          <w:cantSplit/>
        </w:trPr>
        <w:tc>
          <w:tcPr>
            <w:tcW w:type="dxa" w:w="255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Purpose</w:t>
            </w:r>
          </w:p>
        </w:tc>
        <w:tc>
          <w:tcPr>
            <w:tcW w:type="dxa" w:w="74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RFP evidence — AI validation, bias and population performance</w:t>
            </w:r>
          </w:p>
        </w:tc>
      </w:tr>
      <w:tr>
        <w:trPr>
          <w:cantSplit/>
        </w:trPr>
        <w:tc>
          <w:tcPr>
            <w:tcW w:type="dxa" w:w="255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Status</w:t>
            </w:r>
          </w:p>
        </w:tc>
        <w:tc>
          <w:tcPr>
            <w:tcW w:type="dxa" w:w="74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Proposed / Pre-Production framework</w:t>
            </w:r>
          </w:p>
        </w:tc>
      </w:tr>
      <w:tr>
        <w:trPr>
          <w:cantSplit/>
        </w:trPr>
        <w:tc>
          <w:tcPr>
            <w:tcW w:type="dxa" w:w="255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Date / Version</w:t>
            </w:r>
          </w:p>
        </w:tc>
        <w:tc>
          <w:tcPr>
            <w:tcW w:type="dxa" w:w="74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17 August 2026  ·  2.0</w:t>
            </w:r>
          </w:p>
        </w:tc>
      </w:tr>
      <w:tr>
        <w:trPr>
          <w:cantSplit/>
        </w:trPr>
        <w:tc>
          <w:tcPr>
            <w:tcW w:type="dxa" w:w="255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Audience</w:t>
            </w:r>
          </w:p>
        </w:tc>
        <w:tc>
          <w:tcPr>
            <w:tcW w:type="dxa" w:w="74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Clinical governance, medical, IT, security, procurement, risk, regulatory</w:t>
            </w:r>
          </w:p>
        </w:tc>
      </w:tr>
    </w:tbl>
    <w:p>
      <w:pPr>
        <w:spacing w:after="120"/>
      </w:pPr>
    </w:p>
    <w:p>
      <w:pPr>
        <w:spacing w:after="160" w:before="40" w:line="269" w:lineRule="auto"/>
        <w:shd w:fill="E6F4F2" w:val="clear"/>
        <w:pBdr>
          <w:left w:val="single" w:sz="24" w:space="8" w:color="0F766E"/>
        </w:pBdr>
      </w:pPr>
      <w:r>
        <w:rPr>
          <w:rFonts w:ascii="Calibri" w:hAnsi="Calibri" w:eastAsia="Calibri"/>
          <w:b w:val="0"/>
          <w:i w:val="0"/>
          <w:color w:val="1A2332"/>
          <w:sz w:val="20"/>
        </w:rPr>
        <w:t>EXISTING EVIDENCE  = demonstrated in the current AI services codebase.   PROPOSED  = methodology to be applied before clinical production.   TO BE VALIDATED  = no measured clinical, South African or production result is claimed.</w:t>
      </w:r>
    </w:p>
    <w:p>
      <w:pPr>
        <w:keepNext/>
        <w:spacing w:before="280" w:after="120"/>
        <w:pBdr>
          <w:bottom w:val="single" w:sz="10" w:space="6" w:color="123C69"/>
        </w:pBdr>
      </w:pPr>
      <w:r>
        <w:rPr>
          <w:rFonts w:ascii="Calibri" w:hAnsi="Calibri" w:eastAsia="Calibri"/>
          <w:b/>
          <w:i w:val="0"/>
          <w:color w:val="123C69"/>
          <w:sz w:val="28"/>
        </w:rPr>
        <w:t>1.  Executive Summary</w:t>
      </w:r>
    </w:p>
    <w:p>
      <w:pPr>
        <w:spacing w:after="120" w:before="0" w:line="269" w:lineRule="auto"/>
      </w:pPr>
      <w:r>
        <w:rPr>
          <w:rFonts w:ascii="Calibri" w:hAnsi="Calibri" w:eastAsia="Calibri"/>
          <w:b w:val="0"/>
          <w:i w:val="0"/>
          <w:color w:val="1A2332"/>
          <w:sz w:val="21"/>
        </w:rPr>
        <w:t>This response addresses RFP 7.9: evidence and methodology for AI model evaluation, clinical validation, population-specific performance, bias/equity assessment, clinician oversight, auditability and monitoring.</w:t>
      </w:r>
    </w:p>
    <w:p>
      <w:pPr>
        <w:spacing w:after="120" w:before="0" w:line="269" w:lineRule="auto"/>
      </w:pPr>
      <w:r>
        <w:rPr>
          <w:rFonts w:ascii="Calibri" w:hAnsi="Calibri" w:eastAsia="Calibri"/>
          <w:b w:val="0"/>
          <w:i w:val="0"/>
          <w:color w:val="1A2332"/>
          <w:sz w:val="21"/>
        </w:rPr>
        <w:t>The provider uses a model-agnostic architecture. Clinical capabilities are independent microservices. Candidate engines are configured per use case (cloud OpenAI-compatible endpoint or local Ollama; specialised local models where required). Engines are not selected by brand. Life Healthcare retains final authority for AI engine selection, clinical acceptance and production approval.</w:t>
      </w:r>
    </w:p>
    <w:p>
      <w:pPr>
        <w:pStyle w:val="ListBullet"/>
        <w:spacing w:after="40" w:before="0"/>
      </w:pPr>
      <w:r>
        <w:rPr>
          <w:rFonts w:ascii="Calibri" w:hAnsi="Calibri" w:eastAsia="Calibri"/>
          <w:b w:val="0"/>
          <w:i w:val="0"/>
          <w:color w:val="1A2332"/>
          <w:sz w:val="21"/>
        </w:rPr>
        <w:t>EXISTING: configurable engines, structured outputs, source/provenance fields on multiple services, human-review flags, radiology approve/override test workflow, chatbot audit log, engineering tests.</w:t>
      </w:r>
    </w:p>
    <w:p>
      <w:pPr>
        <w:pStyle w:val="ListBullet"/>
        <w:spacing w:after="40" w:before="0"/>
      </w:pPr>
      <w:r>
        <w:rPr>
          <w:rFonts w:ascii="Calibri" w:hAnsi="Calibri" w:eastAsia="Calibri"/>
          <w:b w:val="0"/>
          <w:i w:val="0"/>
          <w:color w:val="1A2332"/>
          <w:sz w:val="21"/>
        </w:rPr>
        <w:t>PROPOSED: formal clinical validation, equity assessment, production monitoring and revalidation — applied to the selected capability and engine before clinical production.</w:t>
      </w:r>
    </w:p>
    <w:p>
      <w:pPr>
        <w:pStyle w:val="ListBullet"/>
        <w:spacing w:after="40" w:before="0"/>
      </w:pPr>
      <w:r>
        <w:rPr>
          <w:rFonts w:ascii="Calibri" w:hAnsi="Calibri" w:eastAsia="Calibri"/>
          <w:b w:val="0"/>
          <w:i w:val="0"/>
          <w:color w:val="1A2332"/>
          <w:sz w:val="21"/>
        </w:rPr>
        <w:t>TO BE VALIDATED: South African population performance, subgroup bias results, clinician acceptance rates, and production accuracy. No completed SA validation, clinical trial or regulatory approval is claimed.</w:t>
      </w:r>
    </w:p>
    <w:p>
      <w:pPr>
        <w:keepNext/>
        <w:spacing w:before="280" w:after="120"/>
        <w:pBdr>
          <w:bottom w:val="single" w:sz="10" w:space="6" w:color="123C69"/>
        </w:pBdr>
      </w:pPr>
      <w:r>
        <w:rPr>
          <w:rFonts w:ascii="Calibri" w:hAnsi="Calibri" w:eastAsia="Calibri"/>
          <w:b/>
          <w:i w:val="0"/>
          <w:color w:val="123C69"/>
          <w:sz w:val="28"/>
        </w:rPr>
        <w:t>2.  AI Service &amp; Model Evaluation</w:t>
      </w:r>
    </w:p>
    <w:p>
      <w:pPr>
        <w:keepNext/>
        <w:spacing w:after="120"/>
      </w:pPr>
      <w:r>
        <w:rPr>
          <w:rFonts w:ascii="Calibri" w:hAnsi="Calibri" w:eastAsia="Calibri"/>
          <w:b/>
          <w:i w:val="0"/>
          <w:color w:val="0F766E"/>
          <w:sz w:val="16"/>
        </w:rPr>
        <w:t xml:space="preserve">EXISTING EVIDENCE  </w:t>
      </w:r>
      <w:r>
        <w:rPr>
          <w:rFonts w:ascii="Calibri" w:hAnsi="Calibri" w:eastAsia="Calibri"/>
          <w:b w:val="0"/>
          <w:i w:val="0"/>
          <w:color w:val="1A2332"/>
          <w:sz w:val="21"/>
        </w:rPr>
        <w:t>Engines below appear in project configuration or code. They are not a production selection for Life Healthcare.</w:t>
      </w:r>
    </w:p>
    <w:p>
      <w:pPr>
        <w:spacing w:after="120" w:before="0" w:line="269" w:lineRule="auto"/>
      </w:pPr>
      <w:r>
        <w:rPr>
          <w:rFonts w:ascii="Calibri" w:hAnsi="Calibri" w:eastAsia="Calibri"/>
          <w:b w:val="0"/>
          <w:i w:val="0"/>
          <w:color w:val="1A2332"/>
          <w:sz w:val="21"/>
        </w:rPr>
        <w:t>Most LLM services accept an engine via OPENAI_BASE_URL and OPENAI_MODEL (or LLM_PROVIDER for the chatbot). Evaluation criteria: clinical quality, terminology, grounding, structured-output compliance, factuality, unsupported-output risk, reliability, latency, security, data residency, cost, lifecycle and population fit. The provider may recommend; Life Healthcare decides.</w:t>
      </w:r>
    </w:p>
    <w:tbl>
      <w:tblPr>
        <w:tblW w:type="dxa" w:w="9979"/>
        <w:jc w:val="center"/>
        <w:tblLayout w:type="fixed"/>
        <w:tblLook w:firstColumn="1" w:firstRow="1" w:lastColumn="0" w:lastRow="0" w:noHBand="0" w:noVBand="1" w:val="04A0"/>
        <w:tblLayout w:type="fixed"/>
      </w:tblPr>
      <w:tblGrid>
        <w:gridCol w:w="2948"/>
        <w:gridCol w:w="3628"/>
        <w:gridCol w:w="3402"/>
      </w:tblGrid>
      <w:tr>
        <w:trPr>
          <w:tblHeader w:val="true"/>
          <w:cantSplit/>
        </w:trPr>
        <w:tc>
          <w:tcPr>
            <w:tcW w:type="dxa" w:w="294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Engine</w:t>
            </w:r>
          </w:p>
        </w:tc>
        <w:tc>
          <w:tcPr>
            <w:tcW w:type="dxa" w:w="362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Role</w:t>
            </w:r>
          </w:p>
        </w:tc>
        <w:tc>
          <w:tcPr>
            <w:tcW w:type="dxa" w:w="3402"/>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Configuration</w:t>
            </w:r>
          </w:p>
        </w:tc>
      </w:tr>
      <w:tr>
        <w:trPr>
          <w:cantSplit/>
        </w:trPr>
        <w:tc>
          <w:tcPr>
            <w:tcW w:type="dxa" w:w="294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gpt-4o</w:t>
            </w:r>
          </w:p>
        </w:tc>
        <w:tc>
          <w:tcPr>
            <w:tcW w:type="dxa" w:w="362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Default LLM in committed examples</w:t>
            </w:r>
          </w:p>
        </w:tc>
        <w:tc>
          <w:tcPr>
            <w:tcW w:type="dxa" w:w="3402"/>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OPENAI_MODEL / MODEL_NAME</w:t>
            </w:r>
          </w:p>
        </w:tc>
      </w:tr>
      <w:tr>
        <w:trPr>
          <w:cantSplit/>
        </w:trPr>
        <w:tc>
          <w:tcPr>
            <w:tcW w:type="dxa" w:w="294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qwen3:1.7b</w:t>
            </w:r>
          </w:p>
        </w:tc>
        <w:tc>
          <w:tcPr>
            <w:tcW w:type="dxa" w:w="362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Local LLM (Ollama)</w:t>
            </w:r>
          </w:p>
        </w:tc>
        <w:tc>
          <w:tcPr>
            <w:tcW w:type="dxa" w:w="3402"/>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OPENAI_MODEL + local base URL</w:t>
            </w:r>
          </w:p>
        </w:tc>
      </w:tr>
      <w:tr>
        <w:trPr>
          <w:cantSplit/>
        </w:trPr>
        <w:tc>
          <w:tcPr>
            <w:tcW w:type="dxa" w:w="294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qwen2.5vl:3b</w:t>
            </w:r>
          </w:p>
        </w:tc>
        <w:tc>
          <w:tcPr>
            <w:tcW w:type="dxa" w:w="362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Local vision LLM</w:t>
            </w:r>
          </w:p>
        </w:tc>
        <w:tc>
          <w:tcPr>
            <w:tcW w:type="dxa" w:w="3402"/>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VISION_MODEL</w:t>
            </w:r>
          </w:p>
        </w:tc>
      </w:tr>
      <w:tr>
        <w:trPr>
          <w:cantSplit/>
        </w:trPr>
        <w:tc>
          <w:tcPr>
            <w:tcW w:type="dxa" w:w="294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densenet121-res224-all</w:t>
            </w:r>
          </w:p>
        </w:tc>
        <w:tc>
          <w:tcPr>
            <w:tcW w:type="dxa" w:w="362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Chest X-ray candidate findings</w:t>
            </w:r>
          </w:p>
        </w:tc>
        <w:tc>
          <w:tcPr>
            <w:tcW w:type="dxa" w:w="3402"/>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TorchXRayVision (local)</w:t>
            </w:r>
          </w:p>
        </w:tc>
      </w:tr>
      <w:tr>
        <w:trPr>
          <w:cantSplit/>
        </w:trPr>
        <w:tc>
          <w:tcPr>
            <w:tcW w:type="dxa" w:w="294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Whisper medium (… large-v3)</w:t>
            </w:r>
          </w:p>
        </w:tc>
        <w:tc>
          <w:tcPr>
            <w:tcW w:type="dxa" w:w="362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Radiology speech-to-text</w:t>
            </w:r>
          </w:p>
        </w:tc>
        <w:tc>
          <w:tcPr>
            <w:tcW w:type="dxa" w:w="3402"/>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WHISPER_MODEL; local only</w:t>
            </w:r>
          </w:p>
        </w:tc>
      </w:tr>
      <w:tr>
        <w:trPr>
          <w:cantSplit/>
        </w:trPr>
        <w:tc>
          <w:tcPr>
            <w:tcW w:type="dxa" w:w="294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TotalSegmentator</w:t>
            </w:r>
          </w:p>
        </w:tc>
        <w:tc>
          <w:tcPr>
            <w:tcW w:type="dxa" w:w="362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Radiology technical QC (coverage)</w:t>
            </w:r>
          </w:p>
        </w:tc>
        <w:tc>
          <w:tcPr>
            <w:tcW w:type="dxa" w:w="3402"/>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Optional local segmentation</w:t>
            </w:r>
          </w:p>
        </w:tc>
      </w:tr>
    </w:tbl>
    <w:p>
      <w:pPr>
        <w:spacing w:after="120"/>
      </w:pPr>
    </w:p>
    <w:p>
      <w:pPr>
        <w:spacing w:after="120" w:before="0" w:line="269" w:lineRule="auto"/>
      </w:pPr>
      <w:r>
        <w:rPr>
          <w:rFonts w:ascii="Calibri" w:hAnsi="Calibri" w:eastAsia="Calibri"/>
          <w:b w:val="0"/>
          <w:i w:val="0"/>
          <w:color w:val="5A6A7A"/>
          <w:sz w:val="20"/>
        </w:rPr>
        <w:t>On GPU, local qwen3:1.7b is typically faster (small on-site model). gpt-4o is typically slower (network + larger model) and stronger for clinical language and structured drafts. DenseNet is faster than any vision LLM for chest X-ray candidates. Whisper large-v3 is the documented accuracy switch and is slower than medium. These are engineering characteristics, not a timed bake-off on Life Healthcare data.</w:t>
      </w:r>
    </w:p>
    <w:p>
      <w:pPr>
        <w:sectPr>
          <w:headerReference w:type="default" r:id="rId9"/>
          <w:footerReference w:type="default" r:id="rId10"/>
          <w:pgSz w:w="11906" w:h="16838"/>
          <w:pgMar w:top="1134" w:right="964" w:bottom="1020" w:left="964" w:header="312" w:footer="255" w:gutter="0"/>
          <w:cols w:space="720"/>
          <w:docGrid w:linePitch="360"/>
        </w:sectPr>
      </w:pPr>
    </w:p>
    <w:p>
      <w:pPr>
        <w:keepNext/>
        <w:spacing w:before="280" w:after="120"/>
        <w:pBdr>
          <w:bottom w:val="single" w:sz="10" w:space="6" w:color="123C69"/>
        </w:pBdr>
      </w:pPr>
      <w:r>
        <w:rPr>
          <w:rFonts w:ascii="Calibri" w:hAnsi="Calibri" w:eastAsia="Calibri"/>
          <w:b/>
          <w:i w:val="0"/>
          <w:color w:val="123C69"/>
          <w:sz w:val="28"/>
        </w:rPr>
        <w:t>3.  Five-Service R&amp;D Evaluation</w:t>
      </w:r>
    </w:p>
    <w:p>
      <w:pPr>
        <w:keepNext/>
        <w:spacing w:after="120"/>
      </w:pPr>
      <w:r>
        <w:rPr>
          <w:rFonts w:ascii="Calibri" w:hAnsi="Calibri" w:eastAsia="Calibri"/>
          <w:b/>
          <w:i w:val="0"/>
          <w:color w:val="0F766E"/>
          <w:sz w:val="16"/>
        </w:rPr>
        <w:t xml:space="preserve">EXISTING EVIDENCE  </w:t>
      </w:r>
      <w:r>
        <w:rPr>
          <w:rFonts w:ascii="Calibri" w:hAnsi="Calibri" w:eastAsia="Calibri"/>
          <w:b w:val="0"/>
          <w:i w:val="0"/>
          <w:color w:val="1A2332"/>
          <w:sz w:val="21"/>
        </w:rPr>
        <w:t>Five services selected at random from the real portfolio. This is an R&amp;D / model-selection assessment — not a clinical trial, SA validation or production result.</w:t>
      </w:r>
    </w:p>
    <w:tbl>
      <w:tblPr>
        <w:tblW w:type="dxa" w:w="15082"/>
        <w:jc w:val="center"/>
        <w:tblLayout w:type="fixed"/>
        <w:tblLook w:firstColumn="1" w:firstRow="1" w:lastColumn="0" w:lastRow="0" w:noHBand="0" w:noVBand="1" w:val="04A0"/>
        <w:tblLayout w:type="fixed"/>
      </w:tblPr>
      <w:tblGrid>
        <w:gridCol w:w="1927"/>
        <w:gridCol w:w="2835"/>
        <w:gridCol w:w="2608"/>
        <w:gridCol w:w="2494"/>
        <w:gridCol w:w="3061"/>
        <w:gridCol w:w="2154"/>
      </w:tblGrid>
      <w:tr>
        <w:trPr>
          <w:tblHeader w:val="true"/>
          <w:cantSplit/>
        </w:trPr>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AI Service</w:t>
            </w:r>
          </w:p>
        </w:tc>
        <w:tc>
          <w:tcPr>
            <w:tcW w:type="dxa" w:w="2835"/>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Function</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Model / Engine</w:t>
            </w:r>
          </w:p>
        </w:tc>
        <w:tc>
          <w:tcPr>
            <w:tcW w:type="dxa" w:w="249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Metric</w:t>
            </w:r>
          </w:p>
        </w:tc>
        <w:tc>
          <w:tcPr>
            <w:tcW w:type="dxa" w:w="306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Result</w:t>
            </w:r>
          </w:p>
        </w:tc>
        <w:tc>
          <w:tcPr>
            <w:tcW w:type="dxa" w:w="215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Status</w:t>
            </w:r>
          </w:p>
        </w:tc>
      </w:tr>
      <w:tr>
        <w:trPr>
          <w:cantSplit/>
        </w:trPr>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ICU Summarizer</w:t>
            </w:r>
          </w:p>
        </w:tc>
        <w:tc>
          <w:tcPr>
            <w:tcW w:type="dxa" w:w="2835"/>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ICU daily summary and handoff deck from flowsheet data</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gpt-4o (default); configurable</w:t>
            </w:r>
          </w:p>
        </w:tc>
        <w:tc>
          <w:tcPr>
            <w:tcW w:type="dxa" w:w="249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Schema, source_counts, data-quality warnings; documented runtime</w:t>
            </w:r>
          </w:p>
        </w:tc>
        <w:tc>
          <w:tcPr>
            <w:tcW w:type="dxa" w:w="306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Clinical accuracy: Not formally measured. Documented time: 10–30 s summary; 15–35 s presentation.</w:t>
            </w:r>
          </w:p>
        </w:tc>
        <w:tc>
          <w:tcPr>
            <w:tcW w:type="dxa" w:w="215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Engineering tests. No clinical dataset.</w:t>
            </w:r>
          </w:p>
        </w:tc>
      </w:tr>
      <w:tr>
        <w:trPr>
          <w:cantSplit/>
        </w:trPr>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Medical Image Interpretation Assist</w:t>
            </w:r>
          </w:p>
        </w:tc>
        <w:tc>
          <w:tcPr>
            <w:tcW w:type="dxa" w:w="2835"/>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Assistive CXR/CT candidate findings; not final diagnosis</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DenseNet densenet121-res224-all; VISION_MODEL gpt-4o or qwen2.5vl:3b</w:t>
            </w:r>
          </w:p>
        </w:tc>
        <w:tc>
          <w:tcPr>
            <w:tcW w:type="dxa" w:w="249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Finding schema; REVIEW_REQUIRED fallback; radiologist_review_required</w:t>
            </w:r>
          </w:p>
        </w:tc>
        <w:tc>
          <w:tcPr>
            <w:tcW w:type="dxa" w:w="306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Clinical accuracy: Not formally measured. Code cut-offs weak ≥0.35 / strong ≥0.60 (not validated operating points).</w:t>
            </w:r>
          </w:p>
        </w:tc>
        <w:tc>
          <w:tcPr>
            <w:tcW w:type="dxa" w:w="215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MVP / pytest. Radiologist review required.</w:t>
            </w:r>
          </w:p>
        </w:tc>
      </w:tr>
      <w:tr>
        <w:trPr>
          <w:cantSplit/>
        </w:trPr>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Sepsis Early Detection</w:t>
            </w:r>
          </w:p>
        </w:tc>
        <w:tc>
          <w:tcPr>
            <w:tcW w:type="dxa" w:w="2835"/>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Structured sepsis risk assessment (qSOFA/SIRS/SOFA fields)</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gpt-4o (default); configurable</w:t>
            </w:r>
          </w:p>
        </w:tc>
        <w:tc>
          <w:tcPr>
            <w:tcW w:type="dxa" w:w="249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Output-schema compliance; normalizer tests</w:t>
            </w:r>
          </w:p>
        </w:tc>
        <w:tc>
          <w:tcPr>
            <w:tcW w:type="dxa" w:w="306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Discrimination / calibration: Not formally measured. Not a validated early-warning score.</w:t>
            </w:r>
          </w:p>
        </w:tc>
        <w:tc>
          <w:tcPr>
            <w:tcW w:type="dxa" w:w="215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Engineering tests + sample fixtures.</w:t>
            </w:r>
          </w:p>
        </w:tc>
      </w:tr>
      <w:tr>
        <w:trPr>
          <w:cantSplit/>
        </w:trPr>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Smart Discharge Planner</w:t>
            </w:r>
          </w:p>
        </w:tc>
        <w:tc>
          <w:tcPr>
            <w:tcW w:type="dxa" w:w="2835"/>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Discharge readiness, blockers, draft plan — not a discharge decision</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gpt-4o (default); README also documents qwen3:1.7b</w:t>
            </w:r>
          </w:p>
        </w:tc>
        <w:tc>
          <w:tcPr>
            <w:tcW w:type="dxa" w:w="249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readiness_status; mandatory disclaimer; schema tests</w:t>
            </w:r>
          </w:p>
        </w:tc>
        <w:tc>
          <w:tcPr>
            <w:tcW w:type="dxa" w:w="306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Clinician agreement: Not formally measured.</w:t>
            </w:r>
          </w:p>
        </w:tc>
        <w:tc>
          <w:tcPr>
            <w:tcW w:type="dxa" w:w="215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Unit/integration tests (AI mocked).</w:t>
            </w:r>
          </w:p>
        </w:tc>
      </w:tr>
      <w:tr>
        <w:trPr>
          <w:cantSplit/>
        </w:trPr>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Patient Timeline</w:t>
            </w:r>
          </w:p>
        </w:tc>
        <w:tc>
          <w:tcPr>
            <w:tcW w:type="dxa" w:w="2835"/>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Chronological, source-traced clinical events</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gpt-4o (default); example metadata qwen3:1.7b</w:t>
            </w:r>
          </w:p>
        </w:tc>
        <w:tc>
          <w:tcPr>
            <w:tcW w:type="dxa" w:w="249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Source field on events; schema validation</w:t>
            </w:r>
          </w:p>
        </w:tc>
        <w:tc>
          <w:tcPr>
            <w:tcW w:type="dxa" w:w="306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Event accuracy vs clinician gold standard: Not formally measured.</w:t>
            </w:r>
          </w:p>
        </w:tc>
        <w:tc>
          <w:tcPr>
            <w:tcW w:type="dxa" w:w="215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Unit/integration tests (AI mocked).</w:t>
            </w:r>
          </w:p>
        </w:tc>
      </w:tr>
    </w:tbl>
    <w:p>
      <w:pPr>
        <w:spacing w:after="120"/>
      </w:pPr>
    </w:p>
    <w:p>
      <w:pPr>
        <w:spacing w:after="80" w:before="0" w:line="269" w:lineRule="auto"/>
      </w:pPr>
      <w:r>
        <w:rPr>
          <w:rFonts w:ascii="Calibri" w:hAnsi="Calibri" w:eastAsia="Calibri"/>
          <w:b w:val="0"/>
          <w:i/>
          <w:color w:val="5A6A7A"/>
          <w:sz w:val="18"/>
        </w:rPr>
        <w:t>Footnote: ICU times are documented expected ranges in service notes, not a recorded load-test log. Where multiple engines are listed, that is configurability, not a completed head-to-head accuracy study.</w:t>
      </w:r>
    </w:p>
    <w:p>
      <w:pPr>
        <w:sectPr>
          <w:pgSz w:w="16838" w:h="11906" w:orient="landscape"/>
          <w:pgMar w:top="1020" w:right="850" w:bottom="907" w:left="850" w:header="283" w:footer="227" w:gutter="0"/>
          <w:cols w:space="720"/>
          <w:docGrid w:linePitch="360"/>
        </w:sectPr>
      </w:pPr>
    </w:p>
    <w:p>
      <w:pPr>
        <w:keepNext/>
        <w:spacing w:before="280" w:after="120"/>
        <w:pBdr>
          <w:bottom w:val="single" w:sz="10" w:space="6" w:color="123C69"/>
        </w:pBdr>
      </w:pPr>
      <w:r>
        <w:rPr>
          <w:rFonts w:ascii="Calibri" w:hAnsi="Calibri" w:eastAsia="Calibri"/>
          <w:b/>
          <w:i w:val="0"/>
          <w:color w:val="123C69"/>
          <w:sz w:val="28"/>
        </w:rPr>
        <w:t>4.  AI Model-Agnostic Architecture</w:t>
      </w:r>
    </w:p>
    <w:p>
      <w:pPr>
        <w:keepNext/>
        <w:spacing w:after="120"/>
      </w:pPr>
      <w:r>
        <w:rPr>
          <w:rFonts w:ascii="Calibri" w:hAnsi="Calibri" w:eastAsia="Calibri"/>
          <w:b/>
          <w:i w:val="0"/>
          <w:color w:val="0F766E"/>
          <w:sz w:val="16"/>
        </w:rPr>
        <w:t xml:space="preserve">EXISTING EVIDENCE  </w:t>
      </w:r>
      <w:r>
        <w:rPr>
          <w:rFonts w:ascii="Calibri" w:hAnsi="Calibri" w:eastAsia="Calibri"/>
          <w:b w:val="0"/>
          <w:i w:val="0"/>
          <w:color w:val="1A2332"/>
          <w:sz w:val="21"/>
        </w:rPr>
        <w:t>Independent FastAPI microservices + OpenAI-compatible client. Radiology test pipeline and chatbot orchestrator exist. Enterprise write-back to the patient record is proposed.</w:t>
      </w:r>
    </w:p>
    <w:tbl>
      <w:tblPr>
        <w:tblW w:type="dxa" w:w="9979"/>
        <w:jc w:val="center"/>
        <w:tblLook w:firstColumn="1" w:firstRow="1" w:lastColumn="0" w:lastRow="0" w:noHBand="0" w:noVBand="1" w:val="04A0"/>
        <w:tblLayout w:type="fixed"/>
      </w:tblPr>
      <w:tblGrid>
        <w:gridCol w:w="9979"/>
      </w:tblGrid>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Clinical Data</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Integration / API</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AI Orchestration</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AI Service</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AI Engine (configurable)</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Validation / Grounding</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AI Output + Provenance</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Clinician Review</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C9842A"/>
              <w:left w:val="single" w:sz="8" w:space="0" w:color="C9842A"/>
              <w:bottom w:val="single" w:sz="8" w:space="0" w:color="C9842A"/>
              <w:right w:val="single" w:sz="8" w:space="0" w:color="C9842A"/>
            </w:tcBorders>
            <w:tcMar>
              <w:top w:w="80" w:type="dxa"/>
              <w:left w:w="80" w:type="dxa"/>
              <w:bottom w:w="80" w:type="dxa"/>
              <w:right w:w="80" w:type="dxa"/>
            </w:tcMar>
            <w:shd w:fill="FEF6E8" w:val="clear"/>
          </w:tcPr>
          <w:p>
            <w:pPr>
              <w:spacing w:after="0"/>
              <w:jc w:val="center"/>
            </w:pPr>
            <w:r/>
            <w:r>
              <w:rPr>
                <w:rFonts w:ascii="Calibri" w:hAnsi="Calibri" w:eastAsia="Calibri"/>
                <w:b/>
                <w:i w:val="0"/>
                <w:color w:val="B45309"/>
                <w:sz w:val="22"/>
              </w:rPr>
              <w:t>Approved Clinical Workflow</w:t>
            </w:r>
          </w:p>
        </w:tc>
      </w:tr>
    </w:tbl>
    <w:p>
      <w:pPr>
        <w:spacing w:after="160"/>
      </w:pPr>
    </w:p>
    <w:tbl>
      <w:tblPr>
        <w:tblW w:type="dxa" w:w="9979"/>
        <w:jc w:val="center"/>
        <w:tblLayout w:type="fixed"/>
        <w:tblLook w:firstColumn="1" w:firstRow="1" w:lastColumn="0" w:lastRow="0" w:noHBand="0" w:noVBand="1" w:val="04A0"/>
        <w:tblLayout w:type="fixed"/>
      </w:tblPr>
      <w:tblGrid>
        <w:gridCol w:w="2381"/>
        <w:gridCol w:w="7597"/>
      </w:tblGrid>
      <w:tr>
        <w:trPr>
          <w:tblHeader w:val="true"/>
          <w:cantSplit/>
        </w:trPr>
        <w:tc>
          <w:tcPr>
            <w:tcW w:type="dxa" w:w="238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Layer</w:t>
            </w:r>
          </w:p>
        </w:tc>
        <w:tc>
          <w:tcPr>
            <w:tcW w:type="dxa" w:w="759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What exists today</w:t>
            </w:r>
          </w:p>
        </w:tc>
      </w:tr>
      <w:tr>
        <w:trPr>
          <w:cantSplit/>
        </w:trPr>
        <w:tc>
          <w:tcPr>
            <w:tcW w:type="dxa" w:w="238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Audit &amp; monitoring</w:t>
            </w:r>
          </w:p>
        </w:tc>
        <w:tc>
          <w:tcPr>
            <w:tcW w:type="dxa" w:w="759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Chatbot interaction/tool audit DB; interpretation JSON audit log (time, model, status, findings). Unified enterprise audit store: PROPOSED.</w:t>
            </w:r>
          </w:p>
        </w:tc>
      </w:tr>
      <w:tr>
        <w:trPr>
          <w:cantSplit/>
        </w:trPr>
        <w:tc>
          <w:tcPr>
            <w:tcW w:type="dxa" w:w="238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Radiology path (test UI)</w:t>
            </w:r>
          </w:p>
        </w:tc>
        <w:tc>
          <w:tcPr>
            <w:tcW w:type="dxa" w:w="759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DICOM → Image QA → Interpretation → Report filling → Approve &amp; Save. QA REVIEW_REQUIRED → manual override.</w:t>
            </w:r>
          </w:p>
        </w:tc>
      </w:tr>
    </w:tbl>
    <w:p>
      <w:pPr>
        <w:spacing w:after="120"/>
      </w:pPr>
    </w:p>
    <w:p>
      <w:pPr>
        <w:keepNext/>
        <w:spacing w:before="280" w:after="120"/>
        <w:pBdr>
          <w:bottom w:val="single" w:sz="10" w:space="6" w:color="123C69"/>
        </w:pBdr>
      </w:pPr>
      <w:r>
        <w:rPr>
          <w:rFonts w:ascii="Calibri" w:hAnsi="Calibri" w:eastAsia="Calibri"/>
          <w:b/>
          <w:i w:val="0"/>
          <w:color w:val="123C69"/>
          <w:sz w:val="28"/>
        </w:rPr>
        <w:t>5.  AI Output &amp; Provenance</w:t>
      </w:r>
    </w:p>
    <w:p>
      <w:pPr>
        <w:keepNext/>
        <w:spacing w:after="120"/>
      </w:pPr>
      <w:r>
        <w:rPr>
          <w:rFonts w:ascii="Calibri" w:hAnsi="Calibri" w:eastAsia="Calibri"/>
          <w:b/>
          <w:i w:val="0"/>
          <w:color w:val="0F766E"/>
          <w:sz w:val="16"/>
        </w:rPr>
        <w:t xml:space="preserve">EXISTING EVIDENCE  </w:t>
      </w:r>
      <w:r>
        <w:rPr>
          <w:rFonts w:ascii="Calibri" w:hAnsi="Calibri" w:eastAsia="Calibri"/>
          <w:b w:val="0"/>
          <w:i w:val="0"/>
          <w:color w:val="1A2332"/>
          <w:sz w:val="21"/>
        </w:rPr>
        <w:t>Fields below exist on one or more services. They are not yet a single enterprise envelope.</w:t>
      </w:r>
    </w:p>
    <w:tbl>
      <w:tblPr>
        <w:tblW w:type="dxa" w:w="9979"/>
        <w:jc w:val="center"/>
        <w:tblLayout w:type="fixed"/>
        <w:tblLook w:firstColumn="1" w:firstRow="1" w:lastColumn="0" w:lastRow="0" w:noHBand="0" w:noVBand="1" w:val="04A0"/>
        <w:tblLayout w:type="fixed"/>
      </w:tblPr>
      <w:tblGrid>
        <w:gridCol w:w="2268"/>
        <w:gridCol w:w="2608"/>
        <w:gridCol w:w="5103"/>
      </w:tblGrid>
      <w:tr>
        <w:trPr>
          <w:tblHeader w:val="true"/>
          <w:cantSplit/>
        </w:trPr>
        <w:tc>
          <w:tcPr>
            <w:tcW w:type="dxa" w:w="226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Field</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Purpose</w:t>
            </w:r>
          </w:p>
        </w:tc>
        <w:tc>
          <w:tcPr>
            <w:tcW w:type="dxa" w:w="510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Present today</w:t>
            </w:r>
          </w:p>
        </w:tc>
      </w:tr>
      <w:tr>
        <w:trPr>
          <w:cantSplit/>
        </w:trPr>
        <w:tc>
          <w:tcPr>
            <w:tcW w:type="dxa" w:w="226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AI output</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Structured artefact</w:t>
            </w:r>
          </w:p>
        </w:tc>
        <w:tc>
          <w:tcPr>
            <w:tcW w:type="dxa" w:w="510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All listed services (JSON; ICU also markdown/PPTX)</w:t>
            </w:r>
          </w:p>
        </w:tc>
      </w:tr>
      <w:tr>
        <w:trPr>
          <w:cantSplit/>
        </w:trPr>
        <w:tc>
          <w:tcPr>
            <w:tcW w:type="dxa" w:w="226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Source / evidence</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Traceability</w:t>
            </w:r>
          </w:p>
        </w:tc>
        <w:tc>
          <w:tcPr>
            <w:tcW w:type="dxa" w:w="510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Auto-population, nurse tasks, timeline, alerts, billing, discharge drafts</w:t>
            </w:r>
          </w:p>
        </w:tc>
      </w:tr>
      <w:tr>
        <w:trPr>
          <w:cantSplit/>
        </w:trPr>
        <w:tc>
          <w:tcPr>
            <w:tcW w:type="dxa" w:w="226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Confidence / uncertainty</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Review signal</w:t>
            </w:r>
          </w:p>
        </w:tc>
        <w:tc>
          <w:tcPr>
            <w:tcW w:type="dxa" w:w="510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Auto-population flags; alerts; interpretation scores; sepsis label (not calibrated)</w:t>
            </w:r>
          </w:p>
        </w:tc>
      </w:tr>
      <w:tr>
        <w:trPr>
          <w:cantSplit/>
        </w:trPr>
        <w:tc>
          <w:tcPr>
            <w:tcW w:type="dxa" w:w="226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Model + timestamp</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Lifecycle / audit</w:t>
            </w:r>
          </w:p>
        </w:tc>
        <w:tc>
          <w:tcPr>
            <w:tcW w:type="dxa" w:w="510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8"/>
              </w:rPr>
              <w:t>processing_metadata / audit log on several services</w:t>
            </w:r>
          </w:p>
        </w:tc>
      </w:tr>
      <w:tr>
        <w:trPr>
          <w:cantSplit/>
        </w:trPr>
        <w:tc>
          <w:tcPr>
            <w:tcW w:type="dxa" w:w="226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Disclaimer + review flag</w:t>
            </w:r>
          </w:p>
        </w:tc>
        <w:tc>
          <w:tcPr>
            <w:tcW w:type="dxa" w:w="260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Human oversight</w:t>
            </w:r>
          </w:p>
        </w:tc>
        <w:tc>
          <w:tcPr>
            <w:tcW w:type="dxa" w:w="510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Assistive-only wording; REVIEW_REQUIRED; requires_physician_review / human_review</w:t>
            </w:r>
          </w:p>
        </w:tc>
      </w:tr>
    </w:tbl>
    <w:p>
      <w:pPr>
        <w:spacing w:after="120"/>
      </w:pPr>
    </w:p>
    <w:p>
      <w:pPr>
        <w:spacing w:after="120" w:before="0" w:line="269" w:lineRule="auto"/>
      </w:pPr>
      <w:r>
        <w:rPr>
          <w:rFonts w:ascii="Calibri" w:hAnsi="Calibri" w:eastAsia="Calibri"/>
          <w:b w:val="0"/>
          <w:i w:val="0"/>
          <w:color w:val="1A2332"/>
          <w:sz w:val="20"/>
        </w:rPr>
        <w:t>Provenance supports traceability, clinical review, incident investigation and (once segmented data is captured) bias monitoring. Placeholders only: &lt;Patient ID&gt;, &lt;Clinical Input&gt;, &lt;AI Output&gt;. No patient data is included in this document.</w:t>
      </w:r>
    </w:p>
    <w:p>
      <w:pPr>
        <w:keepNext/>
        <w:spacing w:before="280" w:after="120"/>
        <w:pBdr>
          <w:bottom w:val="single" w:sz="10" w:space="6" w:color="123C69"/>
        </w:pBdr>
      </w:pPr>
      <w:r>
        <w:rPr>
          <w:rFonts w:ascii="Calibri" w:hAnsi="Calibri" w:eastAsia="Calibri"/>
          <w:b/>
          <w:i w:val="0"/>
          <w:color w:val="123C69"/>
          <w:sz w:val="28"/>
        </w:rPr>
        <w:t>6.  Clinician Review &amp; Override</w:t>
      </w:r>
    </w:p>
    <w:p>
      <w:pPr>
        <w:keepNext/>
        <w:spacing w:after="120"/>
      </w:pPr>
      <w:r>
        <w:rPr>
          <w:rFonts w:ascii="Calibri" w:hAnsi="Calibri" w:eastAsia="Calibri"/>
          <w:b/>
          <w:i w:val="0"/>
          <w:color w:val="0F766E"/>
          <w:sz w:val="16"/>
        </w:rPr>
        <w:t xml:space="preserve">EXISTING EVIDENCE  </w:t>
      </w:r>
      <w:r>
        <w:rPr>
          <w:rFonts w:ascii="Calibri" w:hAnsi="Calibri" w:eastAsia="Calibri"/>
          <w:b w:val="0"/>
          <w:i w:val="0"/>
          <w:color w:val="1A2332"/>
          <w:sz w:val="21"/>
        </w:rPr>
        <w:t>Assistive design and review flags. Unified production accept/edit/reject analytics: PROPOSED.</w:t>
      </w:r>
    </w:p>
    <w:tbl>
      <w:tblPr>
        <w:tblW w:type="dxa" w:w="9979"/>
        <w:jc w:val="center"/>
        <w:tblLook w:firstColumn="1" w:firstRow="1" w:lastColumn="0" w:lastRow="0" w:noHBand="0" w:noVBand="1" w:val="04A0"/>
        <w:tblLayout w:type="fixed"/>
      </w:tblPr>
      <w:tblGrid>
        <w:gridCol w:w="9979"/>
      </w:tblGrid>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AI Recommendation</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Source Evidence</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Confidence / Uncertainty</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Clinician Review</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Accept / Edit / Reject</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C9842A"/>
              <w:left w:val="single" w:sz="8" w:space="0" w:color="C9842A"/>
              <w:bottom w:val="single" w:sz="8" w:space="0" w:color="C9842A"/>
              <w:right w:val="single" w:sz="8" w:space="0" w:color="C9842A"/>
            </w:tcBorders>
            <w:tcMar>
              <w:top w:w="80" w:type="dxa"/>
              <w:left w:w="80" w:type="dxa"/>
              <w:bottom w:w="80" w:type="dxa"/>
              <w:right w:w="80" w:type="dxa"/>
            </w:tcMar>
            <w:shd w:fill="FEF6E8" w:val="clear"/>
          </w:tcPr>
          <w:p>
            <w:pPr>
              <w:spacing w:after="0"/>
              <w:jc w:val="center"/>
            </w:pPr>
            <w:r/>
            <w:r>
              <w:rPr>
                <w:rFonts w:ascii="Calibri" w:hAnsi="Calibri" w:eastAsia="Calibri"/>
                <w:b/>
                <w:i w:val="0"/>
                <w:color w:val="B45309"/>
                <w:sz w:val="22"/>
              </w:rPr>
              <w:t>Approved Output</w:t>
            </w:r>
          </w:p>
        </w:tc>
      </w:tr>
    </w:tbl>
    <w:p>
      <w:pPr>
        <w:spacing w:after="160"/>
      </w:pPr>
    </w:p>
    <w:p>
      <w:pPr>
        <w:pStyle w:val="ListBullet"/>
        <w:spacing w:after="40" w:before="0"/>
      </w:pPr>
      <w:r>
        <w:rPr>
          <w:rFonts w:ascii="Calibri" w:hAnsi="Calibri" w:eastAsia="Calibri"/>
          <w:b w:val="0"/>
          <w:i w:val="0"/>
          <w:color w:val="1A2332"/>
          <w:sz w:val="21"/>
        </w:rPr>
        <w:t>Radiology test UI: Approve &amp; Save; QA override if REVIEW_REQUIRED.</w:t>
      </w:r>
    </w:p>
    <w:p>
      <w:pPr>
        <w:pStyle w:val="ListBullet"/>
        <w:spacing w:after="40" w:before="0"/>
      </w:pPr>
      <w:r>
        <w:rPr>
          <w:rFonts w:ascii="Calibri" w:hAnsi="Calibri" w:eastAsia="Calibri"/>
          <w:b w:val="0"/>
          <w:i w:val="0"/>
          <w:color w:val="1A2332"/>
          <w:sz w:val="21"/>
        </w:rPr>
        <w:t>Interpretation: radiologist_review_required on findings; not for final diagnosis.</w:t>
      </w:r>
    </w:p>
    <w:p>
      <w:pPr>
        <w:pStyle w:val="ListBullet"/>
        <w:spacing w:after="40" w:before="0"/>
      </w:pPr>
      <w:r>
        <w:rPr>
          <w:rFonts w:ascii="Calibri" w:hAnsi="Calibri" w:eastAsia="Calibri"/>
          <w:b w:val="0"/>
          <w:i w:val="0"/>
          <w:color w:val="1A2332"/>
          <w:sz w:val="21"/>
        </w:rPr>
        <w:t>Discharge drafts: requires_physician_review. Discharge planner: needs_review + disclaimer.</w:t>
      </w:r>
    </w:p>
    <w:p>
      <w:pPr>
        <w:pStyle w:val="ListBullet"/>
        <w:spacing w:after="40" w:before="0"/>
      </w:pPr>
      <w:r>
        <w:rPr>
          <w:rFonts w:ascii="Calibri" w:hAnsi="Calibri" w:eastAsia="Calibri"/>
          <w:b w:val="0"/>
          <w:i w:val="0"/>
          <w:color w:val="1A2332"/>
          <w:sz w:val="21"/>
        </w:rPr>
        <w:t>Guideline checks: requires_human_review / requires_urgent_review.</w:t>
      </w:r>
    </w:p>
    <w:p>
      <w:pPr>
        <w:pStyle w:val="ListBullet"/>
        <w:spacing w:after="40" w:before="0"/>
      </w:pPr>
      <w:r>
        <w:rPr>
          <w:rFonts w:ascii="Calibri" w:hAnsi="Calibri" w:eastAsia="Calibri"/>
          <w:b w:val="0"/>
          <w:i w:val="0"/>
          <w:color w:val="1A2332"/>
          <w:sz w:val="21"/>
        </w:rPr>
        <w:t>Chatbot audit stores an approved flag (engineering log, not a clinical sign-off product).</w:t>
      </w:r>
    </w:p>
    <w:p>
      <w:pPr>
        <w:spacing w:after="120" w:before="0" w:line="269" w:lineRule="auto"/>
      </w:pPr>
      <w:r>
        <w:rPr>
          <w:rFonts w:ascii="Calibri" w:hAnsi="Calibri" w:eastAsia="Calibri"/>
          <w:b w:val="0"/>
          <w:i w:val="0"/>
          <w:color w:val="5A6A7A"/>
          <w:sz w:val="20"/>
        </w:rPr>
        <w:t>Acceptance, correction, override and rejection rates are monitoring signals. They are not formally measured.</w:t>
      </w:r>
    </w:p>
    <w:p>
      <w:pPr>
        <w:keepNext/>
        <w:spacing w:before="280" w:after="120"/>
        <w:pBdr>
          <w:bottom w:val="single" w:sz="10" w:space="6" w:color="123C69"/>
        </w:pBdr>
      </w:pPr>
      <w:r>
        <w:rPr>
          <w:rFonts w:ascii="Calibri" w:hAnsi="Calibri" w:eastAsia="Calibri"/>
          <w:b/>
          <w:i w:val="0"/>
          <w:color w:val="123C69"/>
          <w:sz w:val="28"/>
        </w:rPr>
        <w:t>7.  Clinical Validation Methodology</w:t>
      </w:r>
    </w:p>
    <w:p>
      <w:pPr>
        <w:keepNext/>
        <w:spacing w:after="120"/>
      </w:pPr>
      <w:r>
        <w:rPr>
          <w:rFonts w:ascii="Calibri" w:hAnsi="Calibri" w:eastAsia="Calibri"/>
          <w:b/>
          <w:i w:val="0"/>
          <w:color w:val="0F766E"/>
          <w:sz w:val="16"/>
        </w:rPr>
        <w:t xml:space="preserve">PROPOSED  </w:t>
      </w:r>
      <w:r>
        <w:rPr>
          <w:rFonts w:ascii="Calibri" w:hAnsi="Calibri" w:eastAsia="Calibri"/>
          <w:b w:val="0"/>
          <w:i w:val="0"/>
          <w:color w:val="1A2332"/>
          <w:sz w:val="21"/>
        </w:rPr>
        <w:t>To be executed for the Life Healthcare–selected capability and engine before clinical production. No numerical acceptance thresholds are set by the provider.</w:t>
      </w:r>
    </w:p>
    <w:tbl>
      <w:tblPr>
        <w:tblW w:type="dxa" w:w="9979"/>
        <w:jc w:val="center"/>
        <w:tblLook w:firstColumn="1" w:firstRow="1" w:lastColumn="0" w:lastRow="0" w:noHBand="0" w:noVBand="1" w:val="04A0"/>
        <w:tblLayout w:type="fixed"/>
      </w:tblPr>
      <w:tblGrid>
        <w:gridCol w:w="9979"/>
      </w:tblGrid>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1  Intended Use</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2  Model Evaluation</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3  Reference Dataset</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4  Performance Testing</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5  Population / Equity</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6  Clinician Review</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7  Governance Decision</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C9842A"/>
              <w:left w:val="single" w:sz="8" w:space="0" w:color="C9842A"/>
              <w:bottom w:val="single" w:sz="8" w:space="0" w:color="C9842A"/>
              <w:right w:val="single" w:sz="8" w:space="0" w:color="C9842A"/>
            </w:tcBorders>
            <w:tcMar>
              <w:top w:w="80" w:type="dxa"/>
              <w:left w:w="80" w:type="dxa"/>
              <w:bottom w:w="80" w:type="dxa"/>
              <w:right w:w="80" w:type="dxa"/>
            </w:tcMar>
            <w:shd w:fill="FEF6E8" w:val="clear"/>
          </w:tcPr>
          <w:p>
            <w:pPr>
              <w:spacing w:after="0"/>
              <w:jc w:val="center"/>
            </w:pPr>
            <w:r/>
            <w:r>
              <w:rPr>
                <w:rFonts w:ascii="Calibri" w:hAnsi="Calibri" w:eastAsia="Calibri"/>
                <w:b/>
                <w:i w:val="0"/>
                <w:color w:val="B45309"/>
                <w:sz w:val="22"/>
              </w:rPr>
              <w:t>8  Monitoring &amp; Revalidation</w:t>
            </w:r>
          </w:p>
        </w:tc>
      </w:tr>
    </w:tbl>
    <w:p>
      <w:pPr>
        <w:spacing w:after="160"/>
      </w:pPr>
    </w:p>
    <w:tbl>
      <w:tblPr>
        <w:tblW w:type="dxa" w:w="9979"/>
        <w:jc w:val="center"/>
        <w:tblLayout w:type="fixed"/>
        <w:tblLook w:firstColumn="1" w:firstRow="1" w:lastColumn="0" w:lastRow="0" w:noHBand="0" w:noVBand="1" w:val="04A0"/>
        <w:tblLayout w:type="fixed"/>
      </w:tblPr>
      <w:tblGrid>
        <w:gridCol w:w="2041"/>
        <w:gridCol w:w="7938"/>
      </w:tblGrid>
      <w:tr>
        <w:trPr>
          <w:tblHeader w:val="true"/>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Step</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What happens</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1 Intended use</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Agree purpose, users, workflow, inputs/outputs, limitations, risk and mandatory human oversight.</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2 Model evaluation</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Compare candidate engines on quality, grounding, schema, latency, security, residency and cost (Section 2–3).</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3 Reference dataset</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Assemble representative cases with a Life Healthcare–approved reference standard. No such dataset exists in the current project.</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4 Performance testing</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Score agreed metrics (accuracy, precision/recall, grounding, schema, latency — as applicable to the capability).</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5 Population / equity</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Subgroup analysis on segments agreed with Life Healthcare (see Section 8–10).</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6 Clinician review</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Capture accept / edit / reject and comments from qualified reviewers.</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7 Governance</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9"/>
              </w:rPr>
              <w:t>Pass / Conditional pass / Remediation / Not suitable. Thresholds approved by Life Healthcare clinical governance.</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8 Monitoring</w:t>
            </w:r>
          </w:p>
        </w:tc>
        <w:tc>
          <w:tcPr>
            <w:tcW w:type="dxa" w:w="7938"/>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19"/>
              </w:rPr>
              <w:t>Drift, overrides, incidents, model/version change → revalidation when agreed triggers fire.</w:t>
            </w:r>
          </w:p>
        </w:tc>
      </w:tr>
    </w:tbl>
    <w:p>
      <w:pPr>
        <w:spacing w:after="120"/>
      </w:pPr>
    </w:p>
    <w:p>
      <w:pPr>
        <w:keepNext/>
        <w:spacing w:before="280" w:after="120"/>
        <w:pBdr>
          <w:bottom w:val="single" w:sz="10" w:space="6" w:color="123C69"/>
        </w:pBdr>
      </w:pPr>
      <w:r>
        <w:rPr>
          <w:rFonts w:ascii="Calibri" w:hAnsi="Calibri" w:eastAsia="Calibri"/>
          <w:b/>
          <w:i w:val="0"/>
          <w:color w:val="123C69"/>
          <w:sz w:val="28"/>
        </w:rPr>
        <w:t>8.  Population &amp; Equity Assessment</w:t>
      </w:r>
    </w:p>
    <w:p>
      <w:pPr>
        <w:keepNext/>
        <w:spacing w:after="120"/>
      </w:pPr>
      <w:r>
        <w:rPr>
          <w:rFonts w:ascii="Calibri" w:hAnsi="Calibri" w:eastAsia="Calibri"/>
          <w:b/>
          <w:i w:val="0"/>
          <w:color w:val="0F766E"/>
          <w:sz w:val="16"/>
        </w:rPr>
        <w:t xml:space="preserve">PROPOSED  ·  TO BE VALIDATED  </w:t>
      </w:r>
      <w:r>
        <w:rPr>
          <w:rFonts w:ascii="Calibri" w:hAnsi="Calibri" w:eastAsia="Calibri"/>
          <w:b w:val="0"/>
          <w:i w:val="0"/>
          <w:color w:val="1A2332"/>
          <w:sz w:val="21"/>
        </w:rPr>
        <w:t>No subgroup or South African performance results are available.</w:t>
      </w:r>
    </w:p>
    <w:p>
      <w:pPr>
        <w:spacing w:after="120" w:before="0" w:line="269" w:lineRule="auto"/>
      </w:pPr>
      <w:r>
        <w:rPr>
          <w:rFonts w:ascii="Calibri" w:hAnsi="Calibri" w:eastAsia="Calibri"/>
          <w:b w:val="0"/>
          <w:i w:val="0"/>
          <w:color w:val="1A2332"/>
          <w:sz w:val="21"/>
        </w:rPr>
        <w:t>After a representative dataset exists, performance will be compared overall and by agreed segments (for example age, sex, language, specialty, care setting and other characteristics Life Healthcare defines). Review false-positive/negative gaps, calibration differences, override/rejection differences and error mix. Material gaps trigger investigation and remediation or a decision not to deploy.</w:t>
      </w:r>
    </w:p>
    <w:p>
      <w:pPr>
        <w:keepNext/>
        <w:spacing w:before="280" w:after="120"/>
        <w:pBdr>
          <w:bottom w:val="single" w:sz="10" w:space="6" w:color="123C69"/>
        </w:pBdr>
      </w:pPr>
      <w:r>
        <w:rPr>
          <w:rFonts w:ascii="Calibri" w:hAnsi="Calibri" w:eastAsia="Calibri"/>
          <w:b/>
          <w:i w:val="0"/>
          <w:color w:val="123C69"/>
          <w:sz w:val="28"/>
        </w:rPr>
        <w:t>9.  Bias Monitoring Framework</w:t>
      </w:r>
    </w:p>
    <w:p>
      <w:pPr>
        <w:keepNext/>
        <w:spacing w:after="120"/>
      </w:pPr>
      <w:r>
        <w:rPr>
          <w:rFonts w:ascii="Calibri" w:hAnsi="Calibri" w:eastAsia="Calibri"/>
          <w:b/>
          <w:i w:val="0"/>
          <w:color w:val="0F766E"/>
          <w:sz w:val="16"/>
        </w:rPr>
        <w:t xml:space="preserve">PROPOSED  </w:t>
      </w:r>
      <w:r>
        <w:rPr>
          <w:rFonts w:ascii="Calibri" w:hAnsi="Calibri" w:eastAsia="Calibri"/>
          <w:b w:val="0"/>
          <w:i w:val="0"/>
          <w:color w:val="1A2332"/>
          <w:sz w:val="21"/>
        </w:rPr>
        <w:t>Illustrative monitoring layout — not production results.</w:t>
      </w:r>
    </w:p>
    <w:tbl>
      <w:tblPr>
        <w:tblW w:type="dxa" w:w="9979"/>
        <w:jc w:val="center"/>
        <w:tblLayout w:type="fixed"/>
        <w:tblLook w:firstColumn="1" w:firstRow="1" w:lastColumn="0" w:lastRow="0" w:noHBand="0" w:noVBand="1" w:val="04A0"/>
        <w:tblLayout w:type="fixed"/>
      </w:tblPr>
      <w:tblGrid>
        <w:gridCol w:w="2041"/>
        <w:gridCol w:w="1814"/>
        <w:gridCol w:w="1927"/>
        <w:gridCol w:w="1474"/>
        <w:gridCol w:w="1587"/>
        <w:gridCol w:w="1134"/>
      </w:tblGrid>
      <w:tr>
        <w:trPr>
          <w:tblHeader w:val="true"/>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AI capability</w:t>
            </w:r>
          </w:p>
        </w:tc>
        <w:tc>
          <w:tcPr>
            <w:tcW w:type="dxa" w:w="181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Population group</w:t>
            </w:r>
          </w:p>
        </w:tc>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Cases</w:t>
            </w:r>
          </w:p>
        </w:tc>
        <w:tc>
          <w:tcPr>
            <w:tcW w:type="dxa" w:w="147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Accuracy</w:t>
            </w:r>
          </w:p>
        </w:tc>
        <w:tc>
          <w:tcPr>
            <w:tcW w:type="dxa" w:w="158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Override / reject</w:t>
            </w:r>
          </w:p>
        </w:tc>
        <w:tc>
          <w:tcPr>
            <w:tcW w:type="dxa" w:w="113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Status</w:t>
            </w:r>
          </w:p>
        </w:tc>
      </w:tr>
      <w:tr>
        <w:trPr>
          <w:cantSplit/>
        </w:trPr>
        <w:tc>
          <w:tcPr>
            <w:tcW w:type="dxa" w:w="2041"/>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Selected production capability</w:t>
            </w:r>
          </w:p>
        </w:tc>
        <w:tc>
          <w:tcPr>
            <w:tcW w:type="dxa" w:w="181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To be agreed</w:t>
            </w:r>
          </w:p>
        </w:tc>
        <w:tc>
          <w:tcPr>
            <w:tcW w:type="dxa" w:w="192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To be populated during validation</w:t>
            </w:r>
          </w:p>
        </w:tc>
        <w:tc>
          <w:tcPr>
            <w:tcW w:type="dxa" w:w="147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To be populated during validation</w:t>
            </w:r>
          </w:p>
        </w:tc>
        <w:tc>
          <w:tcPr>
            <w:tcW w:type="dxa" w:w="1587"/>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To be populated during validation</w:t>
            </w:r>
          </w:p>
        </w:tc>
        <w:tc>
          <w:tcPr>
            <w:tcW w:type="dxa" w:w="1134"/>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18"/>
              </w:rPr>
              <w:t>Proposed</w:t>
            </w:r>
          </w:p>
        </w:tc>
      </w:tr>
    </w:tbl>
    <w:p>
      <w:pPr>
        <w:spacing w:after="120"/>
      </w:pPr>
    </w:p>
    <w:p>
      <w:pPr>
        <w:keepNext/>
        <w:spacing w:before="280" w:after="120"/>
        <w:pBdr>
          <w:bottom w:val="single" w:sz="10" w:space="6" w:color="123C69"/>
        </w:pBdr>
      </w:pPr>
      <w:r>
        <w:rPr>
          <w:rFonts w:ascii="Calibri" w:hAnsi="Calibri" w:eastAsia="Calibri"/>
          <w:b/>
          <w:i w:val="0"/>
          <w:color w:val="123C69"/>
          <w:sz w:val="28"/>
        </w:rPr>
        <w:t>10.  South African Pre-Production Validation Plan</w:t>
      </w:r>
    </w:p>
    <w:p>
      <w:pPr>
        <w:spacing w:after="160" w:before="40" w:line="269" w:lineRule="auto"/>
        <w:shd w:fill="FEF6E8" w:val="clear"/>
        <w:pBdr>
          <w:left w:val="single" w:sz="24" w:space="8" w:color="B45309"/>
        </w:pBdr>
      </w:pPr>
      <w:r>
        <w:rPr>
          <w:rFonts w:ascii="Calibri" w:hAnsi="Calibri" w:eastAsia="Calibri"/>
          <w:b w:val="0"/>
          <w:i w:val="0"/>
          <w:color w:val="1A2332"/>
          <w:sz w:val="20"/>
        </w:rPr>
        <w:t>South African population-specific validation is proposed as a pre-production activity and is not represented as completed evidence.</w:t>
      </w:r>
    </w:p>
    <w:p>
      <w:pPr>
        <w:pStyle w:val="ListNumber"/>
        <w:spacing w:after="40"/>
      </w:pPr>
      <w:r>
        <w:rPr>
          <w:rFonts w:ascii="Calibri" w:hAnsi="Calibri" w:eastAsia="Calibri"/>
          <w:b w:val="0"/>
          <w:i w:val="0"/>
          <w:color w:val="1A2332"/>
          <w:sz w:val="21"/>
        </w:rPr>
        <w:t>Agree intended use with Life Healthcare.</w:t>
      </w:r>
    </w:p>
    <w:p>
      <w:pPr>
        <w:pStyle w:val="ListNumber"/>
        <w:spacing w:after="40"/>
      </w:pPr>
      <w:r>
        <w:rPr>
          <w:rFonts w:ascii="Calibri" w:hAnsi="Calibri" w:eastAsia="Calibri"/>
          <w:b w:val="0"/>
          <w:i w:val="0"/>
          <w:color w:val="1A2332"/>
          <w:sz w:val="21"/>
        </w:rPr>
        <w:t>Define relevant South African population segments.</w:t>
      </w:r>
    </w:p>
    <w:p>
      <w:pPr>
        <w:pStyle w:val="ListNumber"/>
        <w:spacing w:after="40"/>
      </w:pPr>
      <w:r>
        <w:rPr>
          <w:rFonts w:ascii="Calibri" w:hAnsi="Calibri" w:eastAsia="Calibri"/>
          <w:b w:val="0"/>
          <w:i w:val="0"/>
          <w:color w:val="1A2332"/>
          <w:sz w:val="21"/>
        </w:rPr>
        <w:t>Establish reference standards.</w:t>
      </w:r>
    </w:p>
    <w:p>
      <w:pPr>
        <w:pStyle w:val="ListNumber"/>
        <w:spacing w:after="40"/>
      </w:pPr>
      <w:r>
        <w:rPr>
          <w:rFonts w:ascii="Calibri" w:hAnsi="Calibri" w:eastAsia="Calibri"/>
          <w:b w:val="0"/>
          <w:i w:val="0"/>
          <w:color w:val="1A2332"/>
          <w:sz w:val="21"/>
        </w:rPr>
        <w:t>Assemble representative validation data.</w:t>
      </w:r>
    </w:p>
    <w:p>
      <w:pPr>
        <w:pStyle w:val="ListNumber"/>
        <w:spacing w:after="40"/>
      </w:pPr>
      <w:r>
        <w:rPr>
          <w:rFonts w:ascii="Calibri" w:hAnsi="Calibri" w:eastAsia="Calibri"/>
          <w:b w:val="0"/>
          <w:i w:val="0"/>
          <w:color w:val="1A2332"/>
          <w:sz w:val="21"/>
        </w:rPr>
        <w:t>Evaluate the selected capability and engine.</w:t>
      </w:r>
    </w:p>
    <w:p>
      <w:pPr>
        <w:pStyle w:val="ListNumber"/>
        <w:spacing w:after="40"/>
      </w:pPr>
      <w:r>
        <w:rPr>
          <w:rFonts w:ascii="Calibri" w:hAnsi="Calibri" w:eastAsia="Calibri"/>
          <w:b w:val="0"/>
          <w:i w:val="0"/>
          <w:color w:val="1A2332"/>
          <w:sz w:val="21"/>
        </w:rPr>
        <w:t>Subgroup analysis and bias/equity assessment.</w:t>
      </w:r>
    </w:p>
    <w:p>
      <w:pPr>
        <w:pStyle w:val="ListNumber"/>
        <w:spacing w:after="40"/>
      </w:pPr>
      <w:r>
        <w:rPr>
          <w:rFonts w:ascii="Calibri" w:hAnsi="Calibri" w:eastAsia="Calibri"/>
          <w:b w:val="0"/>
          <w:i w:val="0"/>
          <w:color w:val="1A2332"/>
          <w:sz w:val="21"/>
        </w:rPr>
        <w:t>Clinician review; remediate and re-test if required.</w:t>
      </w:r>
    </w:p>
    <w:p>
      <w:pPr>
        <w:pStyle w:val="ListNumber"/>
        <w:spacing w:after="40"/>
      </w:pPr>
      <w:r>
        <w:rPr>
          <w:rFonts w:ascii="Calibri" w:hAnsi="Calibri" w:eastAsia="Calibri"/>
          <w:b w:val="0"/>
          <w:i w:val="0"/>
          <w:color w:val="1A2332"/>
          <w:sz w:val="21"/>
        </w:rPr>
        <w:t>Obtain clinical/governance approval before production.</w:t>
      </w:r>
    </w:p>
    <w:p>
      <w:pPr>
        <w:keepNext/>
        <w:spacing w:before="280" w:after="120"/>
        <w:pBdr>
          <w:bottom w:val="single" w:sz="10" w:space="6" w:color="123C69"/>
        </w:pBdr>
      </w:pPr>
      <w:r>
        <w:rPr>
          <w:rFonts w:ascii="Calibri" w:hAnsi="Calibri" w:eastAsia="Calibri"/>
          <w:b/>
          <w:i w:val="0"/>
          <w:color w:val="123C69"/>
          <w:sz w:val="28"/>
        </w:rPr>
        <w:t>11.  Production Monitoring &amp; Revalidation</w:t>
      </w:r>
    </w:p>
    <w:p>
      <w:pPr>
        <w:keepNext/>
        <w:spacing w:after="120"/>
      </w:pPr>
      <w:r>
        <w:rPr>
          <w:rFonts w:ascii="Calibri" w:hAnsi="Calibri" w:eastAsia="Calibri"/>
          <w:b/>
          <w:i w:val="0"/>
          <w:color w:val="0F766E"/>
          <w:sz w:val="16"/>
        </w:rPr>
        <w:t xml:space="preserve">PROPOSED  </w:t>
      </w:r>
      <w:r>
        <w:rPr>
          <w:rFonts w:ascii="Calibri" w:hAnsi="Calibri" w:eastAsia="Calibri"/>
          <w:b w:val="0"/>
          <w:i w:val="0"/>
          <w:color w:val="1A2332"/>
          <w:sz w:val="21"/>
        </w:rPr>
        <w:t>Health endpoints, chatbot audit and interpretation logs are fragments — not a production drift/equity platform.</w:t>
      </w:r>
    </w:p>
    <w:tbl>
      <w:tblPr>
        <w:tblW w:type="dxa" w:w="9979"/>
        <w:jc w:val="center"/>
        <w:tblLook w:firstColumn="1" w:firstRow="1" w:lastColumn="0" w:lastRow="0" w:noHBand="0" w:noVBand="1" w:val="04A0"/>
        <w:tblLayout w:type="fixed"/>
      </w:tblPr>
      <w:tblGrid>
        <w:gridCol w:w="9979"/>
      </w:tblGrid>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Pre-deployment validation</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Production deployment</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0F766E"/>
              <w:left w:val="single" w:sz="8" w:space="0" w:color="0F766E"/>
              <w:bottom w:val="single" w:sz="8" w:space="0" w:color="0F766E"/>
              <w:right w:val="single" w:sz="8" w:space="0" w:color="0F766E"/>
            </w:tcBorders>
            <w:tcMar>
              <w:top w:w="80" w:type="dxa"/>
              <w:left w:w="80" w:type="dxa"/>
              <w:bottom w:w="80" w:type="dxa"/>
              <w:right w:w="80" w:type="dxa"/>
            </w:tcMar>
            <w:shd w:fill="E6F4F2" w:val="clear"/>
          </w:tcPr>
          <w:p>
            <w:pPr>
              <w:spacing w:after="0"/>
              <w:jc w:val="center"/>
            </w:pPr>
            <w:r/>
            <w:r>
              <w:rPr>
                <w:rFonts w:ascii="Calibri" w:hAnsi="Calibri" w:eastAsia="Calibri"/>
                <w:b/>
                <w:i w:val="0"/>
                <w:color w:val="0F766E"/>
                <w:sz w:val="22"/>
              </w:rPr>
              <w:t>Continuous monitoring</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Performance &amp; equity review</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123C69"/>
              <w:left w:val="single" w:sz="8" w:space="0" w:color="123C69"/>
              <w:bottom w:val="single" w:sz="8" w:space="0" w:color="123C69"/>
              <w:right w:val="single" w:sz="8" w:space="0" w:color="123C69"/>
            </w:tcBorders>
            <w:tcMar>
              <w:top w:w="80" w:type="dxa"/>
              <w:left w:w="80" w:type="dxa"/>
              <w:bottom w:w="80" w:type="dxa"/>
              <w:right w:w="80" w:type="dxa"/>
            </w:tcMar>
            <w:shd w:fill="FFFFFF" w:val="clear"/>
          </w:tcPr>
          <w:p>
            <w:pPr>
              <w:spacing w:after="0"/>
              <w:jc w:val="center"/>
            </w:pPr>
            <w:r/>
            <w:r>
              <w:rPr>
                <w:rFonts w:ascii="Calibri" w:hAnsi="Calibri" w:eastAsia="Calibri"/>
                <w:b/>
                <w:i w:val="0"/>
                <w:color w:val="123C69"/>
                <w:sz w:val="22"/>
              </w:rPr>
              <w:t>Incident / model-change review</w:t>
            </w:r>
          </w:p>
        </w:tc>
      </w:tr>
      <w:tr>
        <w:trPr>
          <w:cantSplit/>
        </w:trPr>
        <w:tc>
          <w:tcPr>
            <w:tcW w:type="dxa" w:w="9979"/>
            <w:tcBorders>
              <w:top w:val="single" w:sz="0" w:space="0" w:color="FFFFFF"/>
              <w:left w:val="single" w:sz="0" w:space="0" w:color="FFFFFF"/>
              <w:bottom w:val="single" w:sz="0" w:space="0" w:color="FFFFFF"/>
              <w:right w:val="single" w:sz="0" w:space="0" w:color="FFFFFF"/>
            </w:tcBorders>
            <w:tcMar>
              <w:top w:w="20" w:type="dxa"/>
              <w:left w:w="40" w:type="dxa"/>
              <w:bottom w:w="20" w:type="dxa"/>
              <w:right w:w="40" w:type="dxa"/>
            </w:tcMar>
          </w:tcPr>
          <w:p>
            <w:pPr>
              <w:jc w:val="center"/>
            </w:pPr>
            <w:r/>
            <w:r>
              <w:rPr>
                <w:rFonts w:ascii="Calibri" w:hAnsi="Calibri" w:eastAsia="Calibri"/>
                <w:b/>
                <w:i w:val="0"/>
                <w:color w:val="0F766E"/>
                <w:sz w:val="24"/>
              </w:rPr>
              <w:t>↓</w:t>
            </w:r>
          </w:p>
        </w:tc>
      </w:tr>
      <w:tr>
        <w:trPr>
          <w:cantSplit/>
        </w:trPr>
        <w:tc>
          <w:tcPr>
            <w:tcW w:type="dxa" w:w="9979"/>
            <w:vAlign w:val="center"/>
            <w:tcBorders>
              <w:top w:val="single" w:sz="8" w:space="0" w:color="C9842A"/>
              <w:left w:val="single" w:sz="8" w:space="0" w:color="C9842A"/>
              <w:bottom w:val="single" w:sz="8" w:space="0" w:color="C9842A"/>
              <w:right w:val="single" w:sz="8" w:space="0" w:color="C9842A"/>
            </w:tcBorders>
            <w:tcMar>
              <w:top w:w="80" w:type="dxa"/>
              <w:left w:w="80" w:type="dxa"/>
              <w:bottom w:w="80" w:type="dxa"/>
              <w:right w:w="80" w:type="dxa"/>
            </w:tcMar>
            <w:shd w:fill="FEF6E8" w:val="clear"/>
          </w:tcPr>
          <w:p>
            <w:pPr>
              <w:spacing w:after="0"/>
              <w:jc w:val="center"/>
            </w:pPr>
            <w:r/>
            <w:r>
              <w:rPr>
                <w:rFonts w:ascii="Calibri" w:hAnsi="Calibri" w:eastAsia="Calibri"/>
                <w:b/>
                <w:i w:val="0"/>
                <w:color w:val="B45309"/>
                <w:sz w:val="22"/>
              </w:rPr>
              <w:t>Revalidation when required</w:t>
            </w:r>
          </w:p>
        </w:tc>
      </w:tr>
    </w:tbl>
    <w:p>
      <w:pPr>
        <w:spacing w:after="160"/>
      </w:pPr>
    </w:p>
    <w:p>
      <w:pPr>
        <w:spacing w:after="120" w:before="0" w:line="269" w:lineRule="auto"/>
      </w:pPr>
      <w:r>
        <w:rPr>
          <w:rFonts w:ascii="Calibri" w:hAnsi="Calibri" w:eastAsia="Calibri"/>
          <w:b w:val="0"/>
          <w:i w:val="0"/>
          <w:color w:val="1A2332"/>
          <w:sz w:val="21"/>
        </w:rPr>
        <w:t>Monitor performance and data drift, population change, bias indicators, override/rejection rates, unsupported outputs, safety incidents and model/version changes. Revalidate on those triggers or on an agreed interval.</w:t>
      </w:r>
    </w:p>
    <w:p>
      <w:pPr>
        <w:keepNext/>
        <w:spacing w:before="280" w:after="120"/>
        <w:pBdr>
          <w:bottom w:val="single" w:sz="10" w:space="6" w:color="123C69"/>
        </w:pBdr>
      </w:pPr>
      <w:r>
        <w:rPr>
          <w:rFonts w:ascii="Calibri" w:hAnsi="Calibri" w:eastAsia="Calibri"/>
          <w:b/>
          <w:i w:val="0"/>
          <w:color w:val="123C69"/>
          <w:sz w:val="28"/>
        </w:rPr>
        <w:t>12.  Evidence Status / RFP 7.9 Summary</w:t>
      </w:r>
    </w:p>
    <w:tbl>
      <w:tblPr>
        <w:tblW w:type="dxa" w:w="9979"/>
        <w:jc w:val="center"/>
        <w:tblLayout w:type="fixed"/>
        <w:tblLook w:firstColumn="1" w:firstRow="1" w:lastColumn="0" w:lastRow="0" w:noHBand="0" w:noVBand="1" w:val="04A0"/>
        <w:tblLayout w:type="fixed"/>
      </w:tblPr>
      <w:tblGrid>
        <w:gridCol w:w="4536"/>
        <w:gridCol w:w="5443"/>
      </w:tblGrid>
      <w:tr>
        <w:trPr>
          <w:tblHeader w:val="true"/>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Evidence</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123C69" w:val="clear"/>
          </w:tcPr>
          <w:p>
            <w:pPr>
              <w:spacing w:after="0" w:before="0" w:line="252" w:lineRule="auto"/>
            </w:pPr>
            <w:r/>
            <w:r>
              <w:rPr>
                <w:rFonts w:ascii="Calibri" w:hAnsi="Calibri" w:eastAsia="Calibri"/>
                <w:b/>
                <w:i w:val="0"/>
                <w:color w:val="FFFFFF"/>
                <w:sz w:val="17"/>
              </w:rPr>
              <w:t>Status</w:t>
            </w:r>
          </w:p>
        </w:tc>
      </w:tr>
      <w:tr>
        <w:trPr>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AI engine R&amp;D evaluation</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EXISTING (engineering). Clinical scores: TO BE VALIDATED</w:t>
            </w:r>
          </w:p>
        </w:tc>
      </w:tr>
      <w:tr>
        <w:trPr>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AI architecture (model-agnostic)</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EXISTING services + config. Enterprise write-back: PROPOSED</w:t>
            </w:r>
          </w:p>
        </w:tc>
      </w:tr>
      <w:tr>
        <w:trPr>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Output provenance / source-trace</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EXISTING on named services</w:t>
            </w:r>
          </w:p>
        </w:tc>
      </w:tr>
      <w:tr>
        <w:trPr>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Clinician review / override</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EXISTING flags and radiology test UI. Production analytics: PROPOSED</w:t>
            </w:r>
          </w:p>
        </w:tc>
      </w:tr>
      <w:tr>
        <w:trPr>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Clinical validation framework</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PROPOSED</w:t>
            </w:r>
          </w:p>
        </w:tc>
      </w:tr>
      <w:tr>
        <w:trPr>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Equity / bias monitoring</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6F9FB" w:val="clear"/>
          </w:tcPr>
          <w:p>
            <w:pPr>
              <w:spacing w:after="0" w:before="0" w:line="252" w:lineRule="auto"/>
            </w:pPr>
            <w:r/>
            <w:r>
              <w:rPr>
                <w:rFonts w:ascii="Calibri" w:hAnsi="Calibri" w:eastAsia="Calibri"/>
                <w:b w:val="0"/>
                <w:i w:val="0"/>
                <w:color w:val="1A2332"/>
                <w:sz w:val="20"/>
              </w:rPr>
              <w:t>PROPOSED</w:t>
            </w:r>
          </w:p>
        </w:tc>
      </w:tr>
      <w:tr>
        <w:trPr>
          <w:cantSplit/>
        </w:trPr>
        <w:tc>
          <w:tcPr>
            <w:tcW w:type="dxa" w:w="4536"/>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South African population validation</w:t>
            </w:r>
          </w:p>
        </w:tc>
        <w:tc>
          <w:tcPr>
            <w:tcW w:type="dxa" w:w="5443"/>
            <w:vAlign w:val="center"/>
            <w:tcBorders>
              <w:top w:val="single" w:sz="4" w:space="0" w:color="C5D0DA"/>
              <w:left w:val="single" w:sz="4" w:space="0" w:color="C5D0DA"/>
              <w:bottom w:val="single" w:sz="4" w:space="0" w:color="C5D0DA"/>
              <w:right w:val="single" w:sz="4" w:space="0" w:color="C5D0DA"/>
            </w:tcBorders>
            <w:tcMar>
              <w:top w:w="50" w:type="dxa"/>
              <w:left w:w="70" w:type="dxa"/>
              <w:bottom w:w="50" w:type="dxa"/>
              <w:right w:w="70" w:type="dxa"/>
            </w:tcMar>
            <w:shd w:fill="FFFFFF" w:val="clear"/>
          </w:tcPr>
          <w:p>
            <w:pPr>
              <w:spacing w:after="0" w:before="0" w:line="252" w:lineRule="auto"/>
            </w:pPr>
            <w:r/>
            <w:r>
              <w:rPr>
                <w:rFonts w:ascii="Calibri" w:hAnsi="Calibri" w:eastAsia="Calibri"/>
                <w:b w:val="0"/>
                <w:i w:val="0"/>
                <w:color w:val="1A2332"/>
                <w:sz w:val="20"/>
              </w:rPr>
              <w:t>TO BE VALIDATED — not performed</w:t>
            </w:r>
          </w:p>
        </w:tc>
      </w:tr>
    </w:tbl>
    <w:p>
      <w:pPr>
        <w:spacing w:after="120"/>
      </w:pPr>
    </w:p>
    <w:p>
      <w:pPr>
        <w:spacing w:after="160" w:before="40" w:line="269" w:lineRule="auto"/>
        <w:shd w:fill="E6F4F2" w:val="clear"/>
        <w:pBdr>
          <w:left w:val="single" w:sz="24" w:space="8" w:color="0F766E"/>
        </w:pBdr>
      </w:pPr>
      <w:r>
        <w:rPr>
          <w:rFonts w:ascii="Calibri" w:hAnsi="Calibri" w:eastAsia="Calibri"/>
          <w:b w:val="0"/>
          <w:i w:val="0"/>
          <w:color w:val="1A2332"/>
          <w:sz w:val="20"/>
        </w:rPr>
        <w:t>The provider applies a structured, model-agnostic evaluation approach. Candidate engines may be assessed against clinical, technical, safety and operational criteria. Following Life Healthcare’s selection of the capability and engine, the proposed validation and equity framework will be applied before clinical production. Life Healthcare retains final authority for engine selection, clinical acceptance and production approval.</w:t>
      </w:r>
    </w:p>
    <w:sectPr w:rsidR="00FC693F" w:rsidRPr="0006063C" w:rsidSect="00034616">
      <w:pgSz w:w="11906" w:h="16838"/>
      <w:pgMar w:top="1134" w:right="964" w:bottom="1020" w:left="964" w:header="312"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8" w:space="6" w:color="123C69"/>
      </w:pBdr>
      <w:pBdr>
        <w:top w:val="single" w:sz="8" w:space="6" w:color="123C69"/>
      </w:pBdr>
      <w:pBdr>
        <w:top w:val="single" w:sz="8" w:space="6" w:color="123C69"/>
      </w:pBdr>
    </w:pPr>
    <w:r>
      <w:rPr>
        <w:rFonts w:ascii="Calibri" w:hAnsi="Calibri" w:eastAsia="Calibri"/>
        <w:b w:val="0"/>
        <w:i w:val="0"/>
        <w:color w:val="5A6A7A"/>
        <w:sz w:val="16"/>
      </w:rPr>
      <w:t xml:space="preserve">Life Healthcare  ·  Confidential RFP evidence  ·  v2.0  ·  17 August 2026  ·  </w:t>
    </w:r>
    <w:r>
      <w:rPr>
        <w:rFonts w:ascii="Calibri" w:hAnsi="Calibri" w:eastAsia="Calibri"/>
        <w:b w:val="0"/>
        <w:i w:val="0"/>
        <w:color w:val="5A6A7A"/>
        <w:sz w:val="16"/>
      </w:rPr>
      <w:t xml:space="preserve">Page </w:t>
    </w:r>
    <w:r>
      <w:rPr>
        <w:rFonts w:ascii="Calibri" w:hAnsi="Calibri" w:eastAsia="Calibri"/>
        <w:b w:val="0"/>
        <w:i w:val="0"/>
        <w:color w:val="5A6A7A"/>
        <w:sz w:val="16"/>
      </w:rPr>
      <w:fldChar w:fldCharType="begin"/>
    </w:r>
    <w:r>
      <w:rPr>
        <w:rFonts w:ascii="Calibri" w:hAnsi="Calibri" w:eastAsia="Calibri"/>
        <w:b w:val="0"/>
        <w:i w:val="0"/>
        <w:color w:val="5A6A7A"/>
        <w:sz w:val="16"/>
      </w:rPr>
      <w:instrText xml:space="preserve"> PAGE </w:instrText>
    </w:r>
    <w:r>
      <w:rPr>
        <w:rFonts w:ascii="Calibri" w:hAnsi="Calibri" w:eastAsia="Calibri"/>
        <w:b w:val="0"/>
        <w:i w:val="0"/>
        <w:color w:val="5A6A7A"/>
        <w:sz w:val="16"/>
      </w:rPr>
      <w:fldChar w:fldCharType="end"/>
    </w:r>
    <w:r>
      <w:rPr>
        <w:rFonts w:ascii="Calibri" w:hAnsi="Calibri" w:eastAsia="Calibri"/>
        <w:b w:val="0"/>
        <w:i w:val="0"/>
        <w:color w:val="5A6A7A"/>
        <w:sz w:val="16"/>
      </w:rPr>
      <w:t xml:space="preserve"> of </w:t>
    </w:r>
    <w:r>
      <w:rPr>
        <w:rFonts w:ascii="Calibri" w:hAnsi="Calibri" w:eastAsia="Calibri"/>
        <w:b w:val="0"/>
        <w:i w:val="0"/>
        <w:color w:val="5A6A7A"/>
        <w:sz w:val="16"/>
      </w:rPr>
      <w:fldChar w:fldCharType="begin"/>
    </w:r>
    <w:r>
      <w:rPr>
        <w:rFonts w:ascii="Calibri" w:hAnsi="Calibri" w:eastAsia="Calibri"/>
        <w:b w:val="0"/>
        <w:i w:val="0"/>
        <w:color w:val="5A6A7A"/>
        <w:sz w:val="16"/>
      </w:rPr>
      <w:instrText xml:space="preserve"> NUMPAGES </w:instrText>
    </w:r>
    <w:r>
      <w:rPr>
        <w:rFonts w:ascii="Calibri" w:hAnsi="Calibri" w:eastAsia="Calibri"/>
        <w:b w:val="0"/>
        <w:i w:val="0"/>
        <w:color w:val="5A6A7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6" w:space="6" w:color="123C69"/>
      </w:pBdr>
      <w:pBdr>
        <w:bottom w:val="single" w:sz="16" w:space="6" w:color="123C69"/>
      </w:pBdr>
      <w:pBdr>
        <w:bottom w:val="single" w:sz="16" w:space="6" w:color="123C69"/>
      </w:pBdr>
    </w:pPr>
    <w:r>
      <w:rPr>
        <w:rFonts w:ascii="Calibri" w:hAnsi="Calibri" w:eastAsia="Calibri"/>
        <w:b/>
        <w:i w:val="0"/>
        <w:color w:val="123C69"/>
        <w:sz w:val="20"/>
      </w:rPr>
      <w:t>AI Solution Provider</w:t>
    </w:r>
    <w:r>
      <w:rPr>
        <w:rFonts w:ascii="Calibri" w:hAnsi="Calibri" w:eastAsia="Calibri"/>
        <w:b w:val="0"/>
        <w:i w:val="0"/>
        <w:color w:val="5A6A7A"/>
        <w:sz w:val="17"/>
      </w:rPr>
      <w:t xml:space="preserve">  |  RFP 7.9  AI Validation, Bias &amp; Population Performance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