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D896" w14:textId="1E760F8C" w:rsidR="002B6178" w:rsidRDefault="007F2E8B" w:rsidP="002B6178">
      <w:pPr>
        <w:pBdr>
          <w:bottom w:val="single" w:sz="6" w:space="1" w:color="auto"/>
        </w:pBdr>
        <w:spacing w:before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Iniciei o teste fornecendo o arquivo .md referente ao System Prompt v</w:t>
      </w:r>
      <w:r w:rsidR="00B00063">
        <w:rPr>
          <w:rFonts w:ascii="Calibri" w:hAnsi="Calibri" w:cs="Calibri"/>
          <w:lang w:val="pt-BR"/>
        </w:rPr>
        <w:t>2</w:t>
      </w:r>
      <w:r>
        <w:rPr>
          <w:rFonts w:ascii="Calibri" w:hAnsi="Calibri" w:cs="Calibri"/>
          <w:lang w:val="pt-BR"/>
        </w:rPr>
        <w:t xml:space="preserve"> e pedi a confirmação de que havia entendido o papel a cumprir naquela seção. Em seguida, passei a fazer as perguntas acompanhadas do respectivo chunk relevante.</w:t>
      </w:r>
    </w:p>
    <w:p w14:paraId="5843C5A3" w14:textId="422A6ADA" w:rsidR="002B6178" w:rsidRPr="00332E4C" w:rsidRDefault="002B6178" w:rsidP="002B6178">
      <w:pPr>
        <w:pBdr>
          <w:bottom w:val="single" w:sz="6" w:space="1" w:color="auto"/>
        </w:pBdr>
        <w:spacing w:before="16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Início da interação:</w:t>
      </w:r>
    </w:p>
    <w:p w14:paraId="3B01E937" w14:textId="77777777" w:rsidR="002B6178" w:rsidRPr="005540E7" w:rsidRDefault="002B6178" w:rsidP="002B6178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 xml:space="preserve"> Prompt</w:t>
      </w:r>
    </w:p>
    <w:p w14:paraId="388179C8" w14:textId="77777777" w:rsid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Confirme que você entendeu o seu papel e aguarde as perguntas.</w:t>
      </w:r>
    </w:p>
    <w:p w14:paraId="0DB7DD41" w14:textId="77777777" w:rsid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6D31E6C0" w14:textId="486D9B50" w:rsidR="007F2E8B" w:rsidRPr="009146B1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>
        <w:rPr>
          <w:rFonts w:ascii="Consolas" w:hAnsi="Consolas"/>
          <w:i/>
          <w:iCs/>
          <w:sz w:val="16"/>
          <w:szCs w:val="16"/>
          <w:lang w:val="pt-BR"/>
        </w:rPr>
        <w:t>Arquivo anexado: System Prompt v</w:t>
      </w:r>
      <w:r w:rsidR="00B00063">
        <w:rPr>
          <w:rFonts w:ascii="Consolas" w:hAnsi="Consolas"/>
          <w:i/>
          <w:iCs/>
          <w:sz w:val="16"/>
          <w:szCs w:val="16"/>
          <w:lang w:val="pt-BR"/>
        </w:rPr>
        <w:t>2</w:t>
      </w:r>
      <w:r>
        <w:rPr>
          <w:rFonts w:ascii="Consolas" w:hAnsi="Consolas"/>
          <w:i/>
          <w:iCs/>
          <w:sz w:val="16"/>
          <w:szCs w:val="16"/>
          <w:lang w:val="pt-BR"/>
        </w:rPr>
        <w:t>.md</w:t>
      </w:r>
      <w:r w:rsidRPr="009146B1">
        <w:rPr>
          <w:rFonts w:ascii="Consolas" w:hAnsi="Consolas"/>
          <w:i/>
          <w:iCs/>
          <w:sz w:val="16"/>
          <w:szCs w:val="16"/>
          <w:lang w:val="pt-BR"/>
        </w:rPr>
        <w:t xml:space="preserve"> </w:t>
      </w:r>
    </w:p>
    <w:p w14:paraId="74E98885" w14:textId="09E5CA05" w:rsidR="002B6178" w:rsidRPr="005540E7" w:rsidRDefault="002B6178" w:rsidP="001F60BE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3E27552C" w14:textId="77777777" w:rsidR="002B6178" w:rsidRPr="005540E7" w:rsidRDefault="002B6178" w:rsidP="002B6178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>
        <w:rPr>
          <w:rFonts w:ascii="Calibri" w:hAnsi="Calibri" w:cs="Calibri"/>
          <w:b/>
          <w:bCs/>
          <w:lang w:val="pt-BR"/>
        </w:rPr>
        <w:t>Resposta</w:t>
      </w:r>
    </w:p>
    <w:p w14:paraId="0A7229A8" w14:textId="77777777" w:rsidR="00B00063" w:rsidRPr="00B00063" w:rsidRDefault="00B00063" w:rsidP="00B00063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B00063">
        <w:rPr>
          <w:rFonts w:ascii="Georgia" w:hAnsi="Georgia"/>
          <w:sz w:val="22"/>
          <w:szCs w:val="22"/>
          <w:lang w:val="pt-BR"/>
        </w:rPr>
        <w:t xml:space="preserve">Entendido. Sou o </w:t>
      </w:r>
      <w:r w:rsidRPr="00B00063">
        <w:rPr>
          <w:rFonts w:ascii="Georgia" w:hAnsi="Georgia"/>
          <w:b/>
          <w:bCs/>
          <w:sz w:val="22"/>
          <w:szCs w:val="22"/>
          <w:lang w:val="pt-BR"/>
        </w:rPr>
        <w:t>NovaTech Assistant</w:t>
      </w:r>
      <w:r w:rsidRPr="00B00063">
        <w:rPr>
          <w:rFonts w:ascii="Georgia" w:hAnsi="Georgia"/>
          <w:sz w:val="22"/>
          <w:szCs w:val="22"/>
          <w:lang w:val="pt-BR"/>
        </w:rPr>
        <w:t>, assistente de consulta documental para a equipe de Atendimento ao Cliente da NovaTech Logística.</w:t>
      </w:r>
    </w:p>
    <w:p w14:paraId="58B4D684" w14:textId="77777777" w:rsidR="00B00063" w:rsidRPr="00B00063" w:rsidRDefault="00B00063" w:rsidP="00B00063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B00063">
        <w:rPr>
          <w:rFonts w:ascii="Georgia" w:hAnsi="Georgia"/>
          <w:sz w:val="22"/>
          <w:szCs w:val="22"/>
          <w:lang w:val="pt-BR"/>
        </w:rPr>
        <w:t>Meu papel é localizar, interpretar e apresentar informações da documentação oficial da empresa — manuais de procedimento, políticas de compliance, tabelas de SLA, regras de frete e normas de segurança de carga — sempre com citação de fonte obrigatória e dentro do escopo documental.</w:t>
      </w:r>
    </w:p>
    <w:p w14:paraId="2C96608B" w14:textId="77777777" w:rsidR="00B00063" w:rsidRPr="00B00063" w:rsidRDefault="00B00063" w:rsidP="00B00063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B00063">
        <w:rPr>
          <w:rFonts w:ascii="Georgia" w:hAnsi="Georgia"/>
          <w:sz w:val="22"/>
          <w:szCs w:val="22"/>
          <w:lang w:val="pt-BR"/>
        </w:rPr>
        <w:t>Estou pronto. Pode enviar a primeira consulta.</w:t>
      </w:r>
    </w:p>
    <w:p w14:paraId="3A607BBE" w14:textId="77777777" w:rsidR="00484E89" w:rsidRPr="005540E7" w:rsidRDefault="00484E89" w:rsidP="00484E89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3C3C3DE4" w14:textId="77777777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[DOCUMENTAÇÃO RECUPERADA PELO SISTEMA]</w:t>
      </w:r>
    </w:p>
    <w:p w14:paraId="6E1F1790" w14:textId="3BE03E6E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>
        <w:rPr>
          <w:rFonts w:ascii="Consolas" w:hAnsi="Consolas"/>
          <w:i/>
          <w:iCs/>
          <w:sz w:val="16"/>
          <w:szCs w:val="16"/>
          <w:lang w:val="pt-BR"/>
        </w:rPr>
        <w:t xml:space="preserve">- </w:t>
      </w:r>
      <w:r w:rsidRPr="007F2E8B">
        <w:rPr>
          <w:rFonts w:ascii="Consolas" w:hAnsi="Consolas"/>
          <w:i/>
          <w:iCs/>
          <w:sz w:val="16"/>
          <w:szCs w:val="16"/>
          <w:lang w:val="pt-BR"/>
        </w:rPr>
        <w:t>Chunk A: "Política de Devolução POL-001, seção 3.2: Mercadorias podem ser devolvidas em até 7 dias úteis após o recebimento, exceto cargas classificadas como perigosas (classes 1 a 6 da ANTT). O cliente deve abrir chamado no portal e anexar fotos da mercadoria."</w:t>
      </w:r>
      <w:r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29E28DAE" w14:textId="77777777" w:rsid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[PERGUNTA DO ATENDENTE]</w:t>
      </w:r>
    </w:p>
    <w:p w14:paraId="39D7D0F2" w14:textId="1F375C74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Qual o prazo de devolução para carga perigosa?</w:t>
      </w:r>
    </w:p>
    <w:p w14:paraId="6E9710BF" w14:textId="45ADEBCF" w:rsidR="00484E89" w:rsidRPr="005540E7" w:rsidRDefault="00484E89" w:rsidP="00484E89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346A591D" w14:textId="77777777" w:rsidR="00484E89" w:rsidRPr="007F2E8B" w:rsidRDefault="00484E89" w:rsidP="00484E89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 w:rsidRPr="007F2E8B">
        <w:rPr>
          <w:rFonts w:ascii="Calibri" w:hAnsi="Calibri" w:cs="Calibri"/>
          <w:b/>
          <w:bCs/>
          <w:lang w:val="pt-BR"/>
        </w:rPr>
        <w:t>Resposta</w:t>
      </w:r>
    </w:p>
    <w:p w14:paraId="4DDC89CF" w14:textId="77777777" w:rsidR="00B00063" w:rsidRPr="00B00063" w:rsidRDefault="00B00063" w:rsidP="00B00063">
      <w:pPr>
        <w:spacing w:line="288" w:lineRule="auto"/>
        <w:rPr>
          <w:rFonts w:ascii="Georgia" w:hAnsi="Georgia"/>
          <w:b/>
          <w:bCs/>
          <w:sz w:val="22"/>
          <w:szCs w:val="22"/>
          <w:lang w:val="pt-BR"/>
        </w:rPr>
      </w:pPr>
      <w:r w:rsidRPr="00B00063">
        <w:rPr>
          <w:rFonts w:ascii="Georgia" w:hAnsi="Georgia"/>
          <w:b/>
          <w:bCs/>
          <w:sz w:val="22"/>
          <w:szCs w:val="22"/>
          <w:lang w:val="pt-BR"/>
        </w:rPr>
        <w:t xml:space="preserve">RESPOSTA DIRETA </w:t>
      </w:r>
      <w:r w:rsidRPr="00B00063">
        <w:rPr>
          <w:rFonts w:ascii="Georgia" w:hAnsi="Georgia"/>
          <w:sz w:val="22"/>
          <w:szCs w:val="22"/>
          <w:lang w:val="pt-BR"/>
        </w:rPr>
        <w:t>Devoluções não são permitidas para cargas perigosas (classes 1 a 6 da ANTT). Essa categoria está expressamente excluída da política de devolução.</w:t>
      </w:r>
    </w:p>
    <w:p w14:paraId="209FAC48" w14:textId="77777777" w:rsidR="00B00063" w:rsidRPr="00B00063" w:rsidRDefault="00B00063" w:rsidP="00B00063">
      <w:pPr>
        <w:spacing w:line="288" w:lineRule="auto"/>
        <w:rPr>
          <w:rFonts w:ascii="Georgia" w:hAnsi="Georgia"/>
          <w:b/>
          <w:bCs/>
          <w:sz w:val="22"/>
          <w:szCs w:val="22"/>
          <w:lang w:val="pt-BR"/>
        </w:rPr>
      </w:pPr>
      <w:r w:rsidRPr="00B00063">
        <w:rPr>
          <w:rFonts w:ascii="Georgia" w:hAnsi="Georgia"/>
          <w:b/>
          <w:bCs/>
          <w:sz w:val="22"/>
          <w:szCs w:val="22"/>
          <w:lang w:val="pt-BR"/>
        </w:rPr>
        <w:t xml:space="preserve">FONTE </w:t>
      </w:r>
      <w:r w:rsidRPr="00B00063">
        <w:rPr>
          <w:rFonts w:ascii="Georgia" w:hAnsi="Georgia"/>
          <w:sz w:val="22"/>
          <w:szCs w:val="22"/>
          <w:lang w:val="pt-BR"/>
        </w:rPr>
        <w:t>[Fonte: Política de Devolução POL-001 · Seção 3.2]</w:t>
      </w:r>
    </w:p>
    <w:p w14:paraId="6C1A8048" w14:textId="716A1286" w:rsidR="007F2E8B" w:rsidRPr="007F2E8B" w:rsidRDefault="00B00063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B00063">
        <w:rPr>
          <w:rFonts w:ascii="Georgia" w:hAnsi="Georgia"/>
          <w:b/>
          <w:bCs/>
          <w:sz w:val="22"/>
          <w:szCs w:val="22"/>
          <w:lang w:val="pt-BR"/>
        </w:rPr>
        <w:t xml:space="preserve">ATENÇÃO </w:t>
      </w:r>
      <w:r w:rsidRPr="00B00063">
        <w:rPr>
          <w:rFonts w:ascii="Georgia" w:hAnsi="Georgia"/>
          <w:sz w:val="22"/>
          <w:szCs w:val="22"/>
          <w:lang w:val="pt-BR"/>
        </w:rPr>
        <w:t>Caso o cliente questione ou alegue circunstância especial, recomende escalonamento para o supervisor antes de qualquer compromisso.</w:t>
      </w:r>
    </w:p>
    <w:p w14:paraId="3ADA81B9" w14:textId="77777777" w:rsidR="007F2E8B" w:rsidRPr="005540E7" w:rsidRDefault="007F2E8B" w:rsidP="007F2E8B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6BAF5E5C" w14:textId="77777777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[DOCUMENTAÇÃO RECUPERADA PELO SISTEMA]</w:t>
      </w:r>
    </w:p>
    <w:p w14:paraId="27266FAC" w14:textId="77777777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>
        <w:rPr>
          <w:rFonts w:ascii="Consolas" w:hAnsi="Consolas"/>
          <w:i/>
          <w:iCs/>
          <w:sz w:val="16"/>
          <w:szCs w:val="16"/>
          <w:lang w:val="pt-BR"/>
        </w:rPr>
        <w:lastRenderedPageBreak/>
        <w:t xml:space="preserve">- </w:t>
      </w:r>
      <w:r w:rsidRPr="007F2E8B">
        <w:rPr>
          <w:rFonts w:ascii="Consolas" w:hAnsi="Consolas"/>
          <w:i/>
          <w:iCs/>
          <w:sz w:val="16"/>
          <w:szCs w:val="16"/>
          <w:lang w:val="pt-BR"/>
        </w:rPr>
        <w:t>Chunk B: "Tabela SLA-2024: Cliente Gold — resposta em até 2h, resolução em até 24h. Cliente Silver — resposta em até 4h, resolução em até 48h. Cliente Standard — resposta em até 8h, resolução em até 72h."</w:t>
      </w:r>
    </w:p>
    <w:p w14:paraId="41C3EC8D" w14:textId="2CE965BB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1456C441" w14:textId="77777777" w:rsid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[PERGUNTA DO ATENDENTE]</w:t>
      </w:r>
    </w:p>
    <w:p w14:paraId="5FB39BB9" w14:textId="66B7A7F5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Meu cliente é Gold, qual o SLA de resolução?</w:t>
      </w:r>
    </w:p>
    <w:p w14:paraId="0869E532" w14:textId="77777777" w:rsidR="007F2E8B" w:rsidRPr="005540E7" w:rsidRDefault="007F2E8B" w:rsidP="007F2E8B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618A7299" w14:textId="77777777" w:rsidR="007F2E8B" w:rsidRPr="007F2E8B" w:rsidRDefault="007F2E8B" w:rsidP="007F2E8B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 w:rsidRPr="007F2E8B">
        <w:rPr>
          <w:rFonts w:ascii="Calibri" w:hAnsi="Calibri" w:cs="Calibri"/>
          <w:b/>
          <w:bCs/>
          <w:lang w:val="pt-BR"/>
        </w:rPr>
        <w:t>Resposta</w:t>
      </w:r>
    </w:p>
    <w:p w14:paraId="07ECB43F" w14:textId="77777777" w:rsidR="00B00063" w:rsidRPr="00B00063" w:rsidRDefault="00B00063" w:rsidP="00B00063">
      <w:pPr>
        <w:spacing w:line="288" w:lineRule="auto"/>
        <w:rPr>
          <w:rFonts w:ascii="Georgia" w:hAnsi="Georgia"/>
          <w:b/>
          <w:bCs/>
          <w:sz w:val="22"/>
          <w:szCs w:val="22"/>
          <w:lang w:val="pt-BR"/>
        </w:rPr>
      </w:pPr>
      <w:r w:rsidRPr="00B00063">
        <w:rPr>
          <w:rFonts w:ascii="Georgia" w:hAnsi="Georgia"/>
          <w:b/>
          <w:bCs/>
          <w:sz w:val="22"/>
          <w:szCs w:val="22"/>
          <w:lang w:val="pt-BR"/>
        </w:rPr>
        <w:t xml:space="preserve">RESPOSTA DIRETA </w:t>
      </w:r>
      <w:r w:rsidRPr="00B00063">
        <w:rPr>
          <w:rFonts w:ascii="Georgia" w:hAnsi="Georgia"/>
          <w:sz w:val="22"/>
          <w:szCs w:val="22"/>
          <w:lang w:val="pt-BR"/>
        </w:rPr>
        <w:t>Para clientes Gold, o prazo de resolução é de até 24 horas, com tempo de resposta inicial de até 2 horas.</w:t>
      </w:r>
    </w:p>
    <w:p w14:paraId="39C0A628" w14:textId="7302F7AA" w:rsidR="007F2E8B" w:rsidRPr="007F2E8B" w:rsidRDefault="00B00063" w:rsidP="007F2E8B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B00063">
        <w:rPr>
          <w:rFonts w:ascii="Georgia" w:hAnsi="Georgia"/>
          <w:b/>
          <w:bCs/>
          <w:sz w:val="22"/>
          <w:szCs w:val="22"/>
        </w:rPr>
        <w:t xml:space="preserve">FONTE </w:t>
      </w:r>
      <w:r w:rsidRPr="00B00063">
        <w:rPr>
          <w:rFonts w:ascii="Georgia" w:hAnsi="Georgia"/>
          <w:sz w:val="22"/>
          <w:szCs w:val="22"/>
        </w:rPr>
        <w:t>[Fonte: Tabela SLA-2024]</w:t>
      </w:r>
    </w:p>
    <w:p w14:paraId="7A52042E" w14:textId="77777777" w:rsidR="007F2E8B" w:rsidRPr="005540E7" w:rsidRDefault="007F2E8B" w:rsidP="007F2E8B">
      <w:pPr>
        <w:pBdr>
          <w:bottom w:val="single" w:sz="6" w:space="1" w:color="auto"/>
        </w:pBdr>
        <w:spacing w:before="360"/>
        <w:rPr>
          <w:rFonts w:ascii="Calibri" w:hAnsi="Calibri" w:cs="Calibri"/>
          <w:b/>
          <w:bCs/>
          <w:lang w:val="pt-BR"/>
        </w:rPr>
      </w:pPr>
      <w:r w:rsidRPr="005540E7">
        <w:rPr>
          <w:rFonts w:ascii="Calibri" w:hAnsi="Calibri" w:cs="Calibri"/>
          <w:b/>
          <w:bCs/>
          <w:lang w:val="pt-BR"/>
        </w:rPr>
        <w:t>Prompt</w:t>
      </w:r>
    </w:p>
    <w:p w14:paraId="377761E8" w14:textId="77777777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[DOCUMENTAÇÃO RECUPERADA PELO SISTEMA]</w:t>
      </w:r>
    </w:p>
    <w:p w14:paraId="4A528670" w14:textId="77777777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>
        <w:rPr>
          <w:rFonts w:ascii="Consolas" w:hAnsi="Consolas"/>
          <w:i/>
          <w:iCs/>
          <w:sz w:val="16"/>
          <w:szCs w:val="16"/>
          <w:lang w:val="pt-BR"/>
        </w:rPr>
        <w:t xml:space="preserve">- </w:t>
      </w:r>
      <w:r w:rsidRPr="007F2E8B">
        <w:rPr>
          <w:rFonts w:ascii="Consolas" w:hAnsi="Consolas"/>
          <w:i/>
          <w:iCs/>
          <w:sz w:val="16"/>
          <w:szCs w:val="16"/>
          <w:lang w:val="pt-BR"/>
        </w:rPr>
        <w:t>Chunk C: "PROC-042-v2, seção 2: Frete especial para cargas acima de 500kg: valor base × multiplicador regional. Região Sul: 1.3. Região Sudeste: 1.1. Região Norte: 1.8. Região Nordeste: 1.5. Região Centro-Oeste: 1.4."</w:t>
      </w:r>
    </w:p>
    <w:p w14:paraId="79F3CB3B" w14:textId="39271F52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</w:p>
    <w:p w14:paraId="18C8A15A" w14:textId="77777777" w:rsid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[PERGUNTA DO ATENDENTE]</w:t>
      </w:r>
    </w:p>
    <w:p w14:paraId="63E2CA8B" w14:textId="3B900B86" w:rsidR="007F2E8B" w:rsidRPr="007F2E8B" w:rsidRDefault="007F2E8B" w:rsidP="007F2E8B">
      <w:pPr>
        <w:spacing w:after="0" w:line="240" w:lineRule="auto"/>
        <w:rPr>
          <w:rFonts w:ascii="Consolas" w:hAnsi="Consolas"/>
          <w:i/>
          <w:iCs/>
          <w:sz w:val="16"/>
          <w:szCs w:val="16"/>
          <w:lang w:val="pt-BR"/>
        </w:rPr>
      </w:pPr>
      <w:r w:rsidRPr="007F2E8B">
        <w:rPr>
          <w:rFonts w:ascii="Consolas" w:hAnsi="Consolas"/>
          <w:i/>
          <w:iCs/>
          <w:sz w:val="16"/>
          <w:szCs w:val="16"/>
          <w:lang w:val="pt-BR"/>
        </w:rPr>
        <w:t>Quanto custa o frete para 600kg para Manaus?</w:t>
      </w:r>
    </w:p>
    <w:p w14:paraId="0E810FF7" w14:textId="77777777" w:rsidR="007F2E8B" w:rsidRPr="005540E7" w:rsidRDefault="007F2E8B" w:rsidP="007F2E8B">
      <w:pPr>
        <w:spacing w:after="0" w:line="240" w:lineRule="auto"/>
        <w:rPr>
          <w:rFonts w:ascii="Consolas" w:hAnsi="Consolas"/>
          <w:b/>
          <w:bCs/>
          <w:sz w:val="16"/>
          <w:szCs w:val="16"/>
          <w:lang w:val="pt-BR"/>
        </w:rPr>
      </w:pPr>
      <w:r w:rsidRPr="009146B1">
        <w:rPr>
          <w:rFonts w:ascii="Consolas" w:hAnsi="Consolas"/>
          <w:i/>
          <w:iCs/>
          <w:sz w:val="16"/>
          <w:szCs w:val="16"/>
          <w:lang w:val="pt-BR"/>
        </w:rPr>
        <w:br/>
      </w:r>
    </w:p>
    <w:p w14:paraId="084E2590" w14:textId="77777777" w:rsidR="007F2E8B" w:rsidRPr="007F2E8B" w:rsidRDefault="007F2E8B" w:rsidP="007F2E8B">
      <w:pPr>
        <w:pBdr>
          <w:bottom w:val="single" w:sz="6" w:space="1" w:color="auto"/>
        </w:pBdr>
        <w:rPr>
          <w:rFonts w:ascii="Calibri" w:hAnsi="Calibri" w:cs="Calibri"/>
          <w:b/>
          <w:bCs/>
          <w:lang w:val="pt-BR"/>
        </w:rPr>
      </w:pPr>
      <w:r w:rsidRPr="007F2E8B">
        <w:rPr>
          <w:rFonts w:ascii="Calibri" w:hAnsi="Calibri" w:cs="Calibri"/>
          <w:b/>
          <w:bCs/>
          <w:lang w:val="pt-BR"/>
        </w:rPr>
        <w:t>Resposta</w:t>
      </w:r>
    </w:p>
    <w:p w14:paraId="0ED50B54" w14:textId="77777777" w:rsidR="00B00063" w:rsidRPr="00B00063" w:rsidRDefault="00B00063" w:rsidP="00B00063">
      <w:pPr>
        <w:spacing w:line="288" w:lineRule="auto"/>
        <w:rPr>
          <w:rFonts w:ascii="Georgia" w:hAnsi="Georgia"/>
          <w:b/>
          <w:bCs/>
          <w:sz w:val="22"/>
          <w:szCs w:val="22"/>
          <w:lang w:val="pt-BR"/>
        </w:rPr>
      </w:pPr>
      <w:r w:rsidRPr="00B00063">
        <w:rPr>
          <w:rFonts w:ascii="Georgia" w:hAnsi="Georgia"/>
          <w:b/>
          <w:bCs/>
          <w:sz w:val="22"/>
          <w:szCs w:val="22"/>
          <w:lang w:val="pt-BR"/>
        </w:rPr>
        <w:t xml:space="preserve">RESPOSTA DIRETA </w:t>
      </w:r>
      <w:r w:rsidRPr="00B00063">
        <w:rPr>
          <w:rFonts w:ascii="Georgia" w:hAnsi="Georgia"/>
          <w:sz w:val="22"/>
          <w:szCs w:val="22"/>
          <w:lang w:val="pt-BR"/>
        </w:rPr>
        <w:t>Não é possível calcular o valor final sem o valor base do frete. Para cargas acima de 500 kg com destino à Região Norte (onde Manaus se localiza), aplica-se o multiplicador 1.8 sobre o valor base.</w:t>
      </w:r>
    </w:p>
    <w:p w14:paraId="1E203F1A" w14:textId="77777777" w:rsidR="00B00063" w:rsidRPr="00B00063" w:rsidRDefault="00B00063" w:rsidP="00B00063">
      <w:pPr>
        <w:spacing w:line="288" w:lineRule="auto"/>
        <w:rPr>
          <w:rFonts w:ascii="Georgia" w:hAnsi="Georgia"/>
          <w:b/>
          <w:bCs/>
          <w:sz w:val="22"/>
          <w:szCs w:val="22"/>
        </w:rPr>
      </w:pPr>
      <w:r w:rsidRPr="00B00063">
        <w:rPr>
          <w:rFonts w:ascii="Georgia" w:hAnsi="Georgia"/>
          <w:b/>
          <w:bCs/>
          <w:sz w:val="22"/>
          <w:szCs w:val="22"/>
        </w:rPr>
        <w:t>DETALHES</w:t>
      </w:r>
    </w:p>
    <w:p w14:paraId="56219B04" w14:textId="77777777" w:rsidR="00B00063" w:rsidRPr="00B00063" w:rsidRDefault="00B00063" w:rsidP="00B00063">
      <w:pPr>
        <w:numPr>
          <w:ilvl w:val="0"/>
          <w:numId w:val="6"/>
        </w:numPr>
        <w:spacing w:line="288" w:lineRule="auto"/>
        <w:rPr>
          <w:rFonts w:ascii="Georgia" w:hAnsi="Georgia"/>
          <w:sz w:val="22"/>
          <w:szCs w:val="22"/>
        </w:rPr>
      </w:pPr>
      <w:r w:rsidRPr="00B00063">
        <w:rPr>
          <w:rFonts w:ascii="Georgia" w:hAnsi="Georgia"/>
          <w:sz w:val="22"/>
          <w:szCs w:val="22"/>
        </w:rPr>
        <w:t>Fórmula: valor base × 1.8</w:t>
      </w:r>
    </w:p>
    <w:p w14:paraId="6244C8BC" w14:textId="77777777" w:rsidR="00B00063" w:rsidRPr="00B00063" w:rsidRDefault="00B00063" w:rsidP="00B00063">
      <w:pPr>
        <w:numPr>
          <w:ilvl w:val="0"/>
          <w:numId w:val="6"/>
        </w:num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B00063">
        <w:rPr>
          <w:rFonts w:ascii="Georgia" w:hAnsi="Georgia"/>
          <w:sz w:val="22"/>
          <w:szCs w:val="22"/>
          <w:lang w:val="pt-BR"/>
        </w:rPr>
        <w:t>O valor base não está presente na documentação disponível para esta consulta.</w:t>
      </w:r>
    </w:p>
    <w:p w14:paraId="03D5BDCD" w14:textId="77777777" w:rsidR="00B00063" w:rsidRPr="00B00063" w:rsidRDefault="00B00063" w:rsidP="00B00063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B00063">
        <w:rPr>
          <w:rFonts w:ascii="Georgia" w:hAnsi="Georgia"/>
          <w:b/>
          <w:bCs/>
          <w:sz w:val="22"/>
          <w:szCs w:val="22"/>
          <w:lang w:val="pt-BR"/>
        </w:rPr>
        <w:t xml:space="preserve">FONTE </w:t>
      </w:r>
      <w:r w:rsidRPr="00B00063">
        <w:rPr>
          <w:rFonts w:ascii="Georgia" w:hAnsi="Georgia"/>
          <w:sz w:val="22"/>
          <w:szCs w:val="22"/>
          <w:lang w:val="pt-BR"/>
        </w:rPr>
        <w:t>[Fonte: PROC-042-v2 · Seção 2]</w:t>
      </w:r>
    </w:p>
    <w:p w14:paraId="2ABA9E18" w14:textId="44F338B7" w:rsidR="007F2E8B" w:rsidRPr="007F2E8B" w:rsidRDefault="00B00063" w:rsidP="00B00063">
      <w:pPr>
        <w:spacing w:line="288" w:lineRule="auto"/>
        <w:rPr>
          <w:rFonts w:ascii="Georgia" w:hAnsi="Georgia"/>
          <w:b/>
          <w:bCs/>
          <w:sz w:val="22"/>
          <w:szCs w:val="22"/>
          <w:lang w:val="pt-BR"/>
        </w:rPr>
      </w:pPr>
      <w:r w:rsidRPr="00B00063">
        <w:rPr>
          <w:rFonts w:ascii="Georgia" w:hAnsi="Georgia"/>
          <w:b/>
          <w:bCs/>
          <w:sz w:val="22"/>
          <w:szCs w:val="22"/>
          <w:lang w:val="pt-BR"/>
        </w:rPr>
        <w:t xml:space="preserve">ATENÇÃO </w:t>
      </w:r>
      <w:r w:rsidRPr="00B00063">
        <w:rPr>
          <w:rFonts w:ascii="Georgia" w:hAnsi="Georgia"/>
          <w:sz w:val="22"/>
          <w:szCs w:val="22"/>
          <w:lang w:val="pt-BR"/>
        </w:rPr>
        <w:t>Para obter o valor base e concluir o cálculo, consulte a tabela de valores base de frete ou acione a equipe responsável pela precificação.</w:t>
      </w:r>
    </w:p>
    <w:p w14:paraId="21BCCEC3" w14:textId="618CA15F" w:rsid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</w:p>
    <w:p w14:paraId="669C1237" w14:textId="7AE87F1F" w:rsid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>
        <w:rPr>
          <w:noProof/>
        </w:rPr>
        <w:lastRenderedPageBreak/>
        <w:drawing>
          <wp:inline distT="0" distB="0" distL="0" distR="0" wp14:anchorId="4461B1C3" wp14:editId="39AF9211">
            <wp:extent cx="5612130" cy="6195695"/>
            <wp:effectExtent l="0" t="0" r="7620" b="0"/>
            <wp:docPr id="300074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74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8E32" w14:textId="0C057C9F" w:rsid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>
        <w:rPr>
          <w:noProof/>
        </w:rPr>
        <w:lastRenderedPageBreak/>
        <w:drawing>
          <wp:inline distT="0" distB="0" distL="0" distR="0" wp14:anchorId="498A8BD2" wp14:editId="75C3A179">
            <wp:extent cx="5612130" cy="2494915"/>
            <wp:effectExtent l="0" t="0" r="7620" b="635"/>
            <wp:docPr id="218244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4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8AA2" w14:textId="77777777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484E89">
        <w:rPr>
          <w:rFonts w:ascii="Georgia" w:hAnsi="Georgia"/>
          <w:sz w:val="22"/>
          <w:szCs w:val="22"/>
          <w:lang w:val="pt-BR"/>
        </w:rPr>
        <w:t>Alguns pontos que vale registrar para a documentação do projeto:</w:t>
      </w:r>
    </w:p>
    <w:p w14:paraId="28C93821" w14:textId="77777777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484E89">
        <w:rPr>
          <w:rFonts w:ascii="Georgia" w:hAnsi="Georgia"/>
          <w:b/>
          <w:bCs/>
          <w:sz w:val="22"/>
          <w:szCs w:val="22"/>
          <w:lang w:val="pt-BR"/>
        </w:rPr>
        <w:t>O system prompt é deliberadamente enxuto.</w:t>
      </w:r>
      <w:r w:rsidRPr="00484E89">
        <w:rPr>
          <w:rFonts w:ascii="Georgia" w:hAnsi="Georgia"/>
          <w:sz w:val="22"/>
          <w:szCs w:val="22"/>
          <w:lang w:val="pt-BR"/>
        </w:rPr>
        <w:t xml:space="preserve"> 963 tokens estáticos é um número confortável — deixa margem ampla para os chunks RAG, que dominam 80% do contexto consumido por query.</w:t>
      </w:r>
    </w:p>
    <w:p w14:paraId="4A7B0435" w14:textId="77777777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484E89">
        <w:rPr>
          <w:rFonts w:ascii="Georgia" w:hAnsi="Georgia"/>
          <w:b/>
          <w:bCs/>
          <w:sz w:val="22"/>
          <w:szCs w:val="22"/>
          <w:lang w:val="pt-BR"/>
        </w:rPr>
        <w:t>O schema de injeção de chunk (23 tokens) merece atenção especial.</w:t>
      </w:r>
      <w:r w:rsidRPr="00484E89">
        <w:rPr>
          <w:rFonts w:ascii="Georgia" w:hAnsi="Georgia"/>
          <w:sz w:val="22"/>
          <w:szCs w:val="22"/>
          <w:lang w:val="pt-BR"/>
        </w:rPr>
        <w:t xml:space="preserve"> É a menor seção, mas tem um papel crítico: o formato que você declarar ali precisa bater exatamente com o que o pipeline RAG vai injetar. Se o pipeline mudar o schema (ex: adicionar um campo </w:t>
      </w:r>
      <w:r w:rsidRPr="00484E89">
        <w:rPr>
          <w:rFonts w:ascii="Consolas" w:hAnsi="Consolas"/>
          <w:sz w:val="22"/>
          <w:szCs w:val="22"/>
          <w:lang w:val="pt-BR"/>
        </w:rPr>
        <w:t>score</w:t>
      </w:r>
      <w:r w:rsidRPr="00484E89">
        <w:rPr>
          <w:rFonts w:ascii="Georgia" w:hAnsi="Georgia"/>
          <w:sz w:val="22"/>
          <w:szCs w:val="22"/>
          <w:lang w:val="pt-BR"/>
        </w:rPr>
        <w:t xml:space="preserve"> ou </w:t>
      </w:r>
      <w:r w:rsidRPr="00484E89">
        <w:rPr>
          <w:rFonts w:ascii="Consolas" w:hAnsi="Consolas"/>
          <w:sz w:val="22"/>
          <w:szCs w:val="22"/>
          <w:lang w:val="pt-BR"/>
        </w:rPr>
        <w:t>data_revisao</w:t>
      </w:r>
      <w:r w:rsidRPr="00484E89">
        <w:rPr>
          <w:rFonts w:ascii="Georgia" w:hAnsi="Georgia"/>
          <w:sz w:val="22"/>
          <w:szCs w:val="22"/>
          <w:lang w:val="pt-BR"/>
        </w:rPr>
        <w:t xml:space="preserve"> no cabeçalho do chunk), o prompt precisa ser atualizado junto — é um ponto de acoplamento entre o system prompt e o pipeline.</w:t>
      </w:r>
    </w:p>
    <w:p w14:paraId="6C5D4443" w14:textId="77777777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484E89">
        <w:rPr>
          <w:rFonts w:ascii="Georgia" w:hAnsi="Georgia"/>
          <w:b/>
          <w:bCs/>
          <w:sz w:val="22"/>
          <w:szCs w:val="22"/>
          <w:lang w:val="pt-BR"/>
        </w:rPr>
        <w:t>O histórico de conversa é o risco oculto.</w:t>
      </w:r>
      <w:r w:rsidRPr="00484E89">
        <w:rPr>
          <w:rFonts w:ascii="Georgia" w:hAnsi="Georgia"/>
          <w:sz w:val="22"/>
          <w:szCs w:val="22"/>
          <w:lang w:val="pt-BR"/>
        </w:rPr>
        <w:t xml:space="preserve"> A v1 é implicitamente single-turn, o que é seguro. Se você habilitar multi-turn para o atendente "continuar de onde parou", o contexto cresce a cada turno e você pode bater no limite do modelo em sessões longas sem perceber. Vale definir explicitamente a janela máxima de histórico antes de implementar.</w:t>
      </w:r>
    </w:p>
    <w:p w14:paraId="5110A477" w14:textId="77777777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  <w:r w:rsidRPr="00484E89">
        <w:rPr>
          <w:rFonts w:ascii="Georgia" w:hAnsi="Georgia"/>
          <w:b/>
          <w:bCs/>
          <w:sz w:val="22"/>
          <w:szCs w:val="22"/>
          <w:lang w:val="pt-BR"/>
        </w:rPr>
        <w:t>A extensão de perfil de atendente/cliente está sinalizando como "Não presente (v1)"</w:t>
      </w:r>
      <w:r w:rsidRPr="00484E89">
        <w:rPr>
          <w:rFonts w:ascii="Georgia" w:hAnsi="Georgia"/>
          <w:sz w:val="22"/>
          <w:szCs w:val="22"/>
          <w:lang w:val="pt-BR"/>
        </w:rPr>
        <w:t xml:space="preserve"> justamente para deixar o slot reservado na documentação. Quando o time de produto decidir segmentar por tipo de cliente (premium, padrão), o ponto de injeção já está identificado.</w:t>
      </w:r>
    </w:p>
    <w:p w14:paraId="15219975" w14:textId="01B59749" w:rsidR="00484E89" w:rsidRPr="00484E89" w:rsidRDefault="00484E89" w:rsidP="00484E89">
      <w:pPr>
        <w:spacing w:line="288" w:lineRule="auto"/>
        <w:rPr>
          <w:rFonts w:ascii="Georgia" w:hAnsi="Georgia"/>
          <w:sz w:val="22"/>
          <w:szCs w:val="22"/>
          <w:lang w:val="pt-BR"/>
        </w:rPr>
      </w:pPr>
    </w:p>
    <w:p w14:paraId="3C2FE03A" w14:textId="77777777" w:rsidR="00EC1193" w:rsidRPr="006C7937" w:rsidRDefault="00EC1193" w:rsidP="006C7937">
      <w:pPr>
        <w:spacing w:after="0" w:line="240" w:lineRule="auto"/>
        <w:rPr>
          <w:rFonts w:ascii="Consolas" w:hAnsi="Consolas"/>
          <w:color w:val="BF4E14" w:themeColor="accent2" w:themeShade="BF"/>
          <w:sz w:val="16"/>
          <w:szCs w:val="16"/>
          <w:lang w:val="pt-BR"/>
        </w:rPr>
      </w:pPr>
    </w:p>
    <w:sectPr w:rsidR="00EC1193" w:rsidRPr="006C793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6F4B"/>
    <w:multiLevelType w:val="multilevel"/>
    <w:tmpl w:val="B43E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F2B5A"/>
    <w:multiLevelType w:val="multilevel"/>
    <w:tmpl w:val="940C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04672"/>
    <w:multiLevelType w:val="multilevel"/>
    <w:tmpl w:val="AF5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D72E3"/>
    <w:multiLevelType w:val="multilevel"/>
    <w:tmpl w:val="8DE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825A4"/>
    <w:multiLevelType w:val="multilevel"/>
    <w:tmpl w:val="906A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A2E58"/>
    <w:multiLevelType w:val="multilevel"/>
    <w:tmpl w:val="48C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979851">
    <w:abstractNumId w:val="1"/>
  </w:num>
  <w:num w:numId="2" w16cid:durableId="591281101">
    <w:abstractNumId w:val="0"/>
  </w:num>
  <w:num w:numId="3" w16cid:durableId="1583828335">
    <w:abstractNumId w:val="5"/>
  </w:num>
  <w:num w:numId="4" w16cid:durableId="2085569726">
    <w:abstractNumId w:val="3"/>
  </w:num>
  <w:num w:numId="5" w16cid:durableId="167986457">
    <w:abstractNumId w:val="2"/>
  </w:num>
  <w:num w:numId="6" w16cid:durableId="1125390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42"/>
    <w:rsid w:val="00007B0C"/>
    <w:rsid w:val="001F60BE"/>
    <w:rsid w:val="002B6178"/>
    <w:rsid w:val="003931CA"/>
    <w:rsid w:val="00484E89"/>
    <w:rsid w:val="004D3793"/>
    <w:rsid w:val="005326E9"/>
    <w:rsid w:val="006C7937"/>
    <w:rsid w:val="007E70E0"/>
    <w:rsid w:val="007F2E8B"/>
    <w:rsid w:val="0093532D"/>
    <w:rsid w:val="00936853"/>
    <w:rsid w:val="00B00063"/>
    <w:rsid w:val="00B75A42"/>
    <w:rsid w:val="00B94262"/>
    <w:rsid w:val="00EC1193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07933"/>
  <w15:chartTrackingRefBased/>
  <w15:docId w15:val="{B2DE6025-6B95-46A9-B0CD-42631BEC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178"/>
  </w:style>
  <w:style w:type="paragraph" w:styleId="Ttulo1">
    <w:name w:val="heading 1"/>
    <w:basedOn w:val="Normal"/>
    <w:next w:val="Normal"/>
    <w:link w:val="Ttulo1Char"/>
    <w:uiPriority w:val="9"/>
    <w:qFormat/>
    <w:rsid w:val="00B7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A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A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A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5A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5A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5A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A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5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666</Words>
  <Characters>3533</Characters>
  <Application>Microsoft Office Word</Application>
  <DocSecurity>0</DocSecurity>
  <Lines>92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7</cp:revision>
  <dcterms:created xsi:type="dcterms:W3CDTF">2026-06-05T04:53:00Z</dcterms:created>
  <dcterms:modified xsi:type="dcterms:W3CDTF">2026-06-05T07:44:00Z</dcterms:modified>
</cp:coreProperties>
</file>