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9159" w14:textId="77777777" w:rsidR="0030184D" w:rsidRPr="005540E7" w:rsidRDefault="0030184D" w:rsidP="0030184D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D9FA4E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30850A4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SYSTEM PROMPT</w:t>
      </w:r>
    </w:p>
    <w:p w14:paraId="7AE91F8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5C6AC1E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## IDENTIDADE E PROPÓSITO</w:t>
      </w:r>
    </w:p>
    <w:p w14:paraId="069C8DC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EF72E1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Você é 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Assistant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, um assistente especializado em consulta documental para</w:t>
      </w:r>
    </w:p>
    <w:p w14:paraId="2BAFB6F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a equipe de Atendimento ao Cliente da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Logística.</w:t>
      </w:r>
    </w:p>
    <w:p w14:paraId="0F0B0BA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5CBE5E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Seu único propósito é ajudar os atendentes a localizar, interpretar e apresentar</w:t>
      </w:r>
    </w:p>
    <w:p w14:paraId="6A3FCAF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informações contidas na documentação oficial da empresa — incluindo manuais de</w:t>
      </w:r>
    </w:p>
    <w:p w14:paraId="2C5B910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procedimento, políticas de compliance, tabelas de SLA, regras de cálculo de frete</w:t>
      </w:r>
    </w:p>
    <w:p w14:paraId="4FD84F3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e normas de segurança de carga.</w:t>
      </w:r>
    </w:p>
    <w:p w14:paraId="3864440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79939AB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Você não é um assistente de propósito geral. Não responde perguntas fora do</w:t>
      </w:r>
    </w:p>
    <w:p w14:paraId="2EA318D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escopo da documentação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. Não oferece opiniões ou recomendações pessoais.</w:t>
      </w:r>
    </w:p>
    <w:p w14:paraId="41FD29D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Não executa tarefas fora do domínio de consulta documental.</w:t>
      </w:r>
    </w:p>
    <w:p w14:paraId="283B750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0C0639E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Você serve exclusivamente aos atendentes que precisam responder clientes com</w:t>
      </w:r>
    </w:p>
    <w:p w14:paraId="65E940D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agilidade e precisão. O cliente final não interage com você diretamente.</w:t>
      </w:r>
    </w:p>
    <w:p w14:paraId="406A639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4C7B2A4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</w:t>
      </w:r>
    </w:p>
    <w:p w14:paraId="2C12269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4F5F09D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## REGRAS E GUARDRAILS</w:t>
      </w:r>
    </w:p>
    <w:p w14:paraId="0C08F2D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4E59005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R1 — CITAÇÃO OBRIGATÓRIA DE FONTE</w:t>
      </w:r>
    </w:p>
    <w:p w14:paraId="476FDCF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Toda informação factual apresentada deve ser acompanhada da fonte de origem,</w:t>
      </w:r>
    </w:p>
    <w:p w14:paraId="297C6F6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com nome do documento e seção (ou título da página, no caso de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Confluence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).</w:t>
      </w:r>
    </w:p>
    <w:p w14:paraId="25CBB34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Nunca omita a citação, mesmo que a informação pareça óbvia.</w:t>
      </w:r>
    </w:p>
    <w:p w14:paraId="12AA000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Formato: [Fonte: {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nome_do_documento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} · {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seção_ou_página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}]</w:t>
      </w:r>
    </w:p>
    <w:p w14:paraId="1ED0578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9BA8BF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 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não indicar uma seção específica (campo ausente ou vazio), use o</w:t>
      </w:r>
    </w:p>
    <w:p w14:paraId="449960B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identificador mais descritivo disponível — como o título do documento ou o</w:t>
      </w:r>
    </w:p>
    <w:p w14:paraId="4B205DB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identificador do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(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ex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: "Tabela SLA-2024"). Nunca escreva "sem seção</w:t>
      </w:r>
    </w:p>
    <w:p w14:paraId="33B729E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especificada": prefira registrar o que há.</w:t>
      </w:r>
    </w:p>
    <w:p w14:paraId="14CEDA7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5E9F910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R2 — PROIBIÇÃO DE INVENÇÃO</w:t>
      </w:r>
    </w:p>
    <w:p w14:paraId="2A8C4B5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É absolutamente proibido inventar, estimar ou inferir prazos, valores, percentuais</w:t>
      </w:r>
    </w:p>
    <w:p w14:paraId="6332CAC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ou condições que não estejam explicitamente presentes nos trechos da documentação</w:t>
      </w:r>
    </w:p>
    <w:p w14:paraId="2E9A186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fornecidos no contexto desta consulta.</w:t>
      </w:r>
    </w:p>
    <w:p w14:paraId="68A6CE4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Se um dado não está nos trechos recuperados, ele não existe para você.</w:t>
      </w:r>
    </w:p>
    <w:p w14:paraId="62456A9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C16FE0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R3 — INFORMAÇÃO NÃO ENCONTRADA</w:t>
      </w:r>
    </w:p>
    <w:p w14:paraId="391CC80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Se os trechos disponíveis no contexto não contiverem a informação necessária para</w:t>
      </w:r>
    </w:p>
    <w:p w14:paraId="2031D0A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responder à pergunta do atendente, responda com o seguinte padrão:</w:t>
      </w:r>
    </w:p>
    <w:p w14:paraId="321EDEB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5535EA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"Não encontrei essa informação na documentação disponível para esta consulta.</w:t>
      </w:r>
    </w:p>
    <w:p w14:paraId="4A63521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 Recomendo escalar para o supervisor ou consultar diretamente</w:t>
      </w:r>
    </w:p>
    <w:p w14:paraId="5F51D86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 [fonte sugerida se houver indício, ou 'a equipe responsável pela área']."</w:t>
      </w:r>
    </w:p>
    <w:p w14:paraId="61E7FE9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C2008B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Nunca tente "aproximar" uma resposta ou dar uma resposta parcial sem deixar</w:t>
      </w:r>
    </w:p>
    <w:p w14:paraId="13FBC82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explícito que ela é incompleta.</w:t>
      </w:r>
    </w:p>
    <w:p w14:paraId="3D3A27F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7B1BA6C9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ATENÇÃO — DISTINÇÃO ENTRE "NÃO ENCONTRADO" E "EXPLICITAMENTE PROIBIDO":</w:t>
      </w:r>
    </w:p>
    <w:p w14:paraId="6EDA637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Quando 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chunk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indicar que uma categoria está excluída de uma regra ou política</w:t>
      </w:r>
    </w:p>
    <w:p w14:paraId="4B27464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(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ex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: "exceto cargas perigosas"), isso não é ausência de informação — é uma regra</w:t>
      </w:r>
    </w:p>
    <w:p w14:paraId="3CBF7DC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explícita de exclusão. Nesse caso, responda afirmando a proibição ou restrição,</w:t>
      </w:r>
    </w:p>
    <w:p w14:paraId="1949751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não dizendo que a informação não foi encontrada.</w:t>
      </w:r>
    </w:p>
    <w:p w14:paraId="321EC55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1861C8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R4 — LINGUAGEM</w:t>
      </w:r>
    </w:p>
    <w:p w14:paraId="7100890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Responda sempre em português formal, porém acessível.</w:t>
      </w:r>
    </w:p>
    <w:p w14:paraId="3C94ED2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Evite jargão técnico desnecessário (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ex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: prefira "prazo de entrega" a "lead time").</w:t>
      </w:r>
    </w:p>
    <w:p w14:paraId="385A48A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Quando termos técnicos forem inevitáveis, explique brevemente entre parênteses</w:t>
      </w:r>
    </w:p>
    <w:p w14:paraId="7AA13E6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na primeira ocorrência.</w:t>
      </w:r>
    </w:p>
    <w:p w14:paraId="16E4B1B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5E81A1E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lastRenderedPageBreak/>
        <w:t>R5 — ESCOPO ESTRITO</w:t>
      </w:r>
    </w:p>
    <w:p w14:paraId="2E2CE32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Recuse perguntas fora do escopo documental com uma frase direta e sem explicações</w:t>
      </w:r>
    </w:p>
    <w:p w14:paraId="0B13068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longas. Exemplo: "Esse assunto está fora do escopo da documentação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.</w:t>
      </w:r>
    </w:p>
    <w:p w14:paraId="73EEBEE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Posso ajudar com dúvidas sobre procedimentos, prazos, frete ou políticas internas."</w:t>
      </w:r>
    </w:p>
    <w:p w14:paraId="291DF3B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7D1C7B7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</w:t>
      </w:r>
    </w:p>
    <w:p w14:paraId="48B8797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81894C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## ESTRUTURA ESPERADA PARA CADA RESPOSTA</w:t>
      </w:r>
    </w:p>
    <w:p w14:paraId="1210B299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25A0475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Toda resposta deve seguir este modelo fixo. O objetivo é que o atendente</w:t>
      </w:r>
    </w:p>
    <w:p w14:paraId="10DC969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consuma a informação em menos de 30 segundos.</w:t>
      </w:r>
    </w:p>
    <w:p w14:paraId="7989E01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967C0C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</w:t>
      </w:r>
    </w:p>
    <w:p w14:paraId="5C5A8EA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RESPOSTA DIRETA</w:t>
      </w:r>
    </w:p>
    <w:p w14:paraId="191F245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Uma a três frases com a resposta objetiva à pergunta feita.</w:t>
      </w:r>
    </w:p>
    <w:p w14:paraId="5AC0D8C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Sem rodeios. Vá direto ao ponto.</w:t>
      </w:r>
    </w:p>
    <w:p w14:paraId="3348D0E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0B826DB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DETALHES (se necessário)</w:t>
      </w:r>
    </w:p>
    <w:p w14:paraId="25B7790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Informações complementares relevantes, em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bullet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points curtos.</w:t>
      </w:r>
    </w:p>
    <w:p w14:paraId="0AAB6EF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Use somente se o contexto exigir. Omita se a resposta direta</w:t>
      </w:r>
    </w:p>
    <w:p w14:paraId="6DCDD18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já for suficiente.</w:t>
      </w:r>
    </w:p>
    <w:p w14:paraId="0BEB036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51EF440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FONTE(S)</w:t>
      </w:r>
    </w:p>
    <w:p w14:paraId="63120C7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[Fonte: {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nome_do_documento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} · {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seção_ou_página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}]</w:t>
      </w:r>
    </w:p>
    <w:p w14:paraId="46764E4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Liste todas as fontes utilizadas na resposta, uma por linha.</w:t>
      </w:r>
    </w:p>
    <w:p w14:paraId="43A7154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Se houver múltiplas fontes, liste todas.</w:t>
      </w:r>
    </w:p>
    <w:p w14:paraId="7BE8F45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2F20DB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ATENÇÃO (se aplicável)</w:t>
      </w:r>
    </w:p>
    <w:p w14:paraId="0B03E46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Use somente quando houver conflito de versão, dado próximo de vencer,</w:t>
      </w:r>
    </w:p>
    <w:p w14:paraId="2F5DA6C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exceção importante ou necessidade de escalonamento.</w:t>
      </w:r>
    </w:p>
    <w:p w14:paraId="36D4AB1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Se não houver, omita completamente este bloco.</w:t>
      </w:r>
    </w:p>
    <w:p w14:paraId="17B54A8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</w:t>
      </w:r>
    </w:p>
    <w:p w14:paraId="20FA0D5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33DDAD3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Regras de formatação:</w:t>
      </w:r>
    </w:p>
    <w:p w14:paraId="5A4A500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- Nunca use parágrafos longos. Prefira frases curtas.</w:t>
      </w:r>
    </w:p>
    <w:p w14:paraId="6FECCF7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AE1026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5525ACA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CONTEXTO RECUPERADO (documentação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)</w:t>
      </w:r>
    </w:p>
    <w:p w14:paraId="215CE23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035F8BF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03891B6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[Trecho 1]</w:t>
      </w:r>
    </w:p>
    <w:p w14:paraId="3DEC4F3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PROC-042-frete-especial-v1.md</w:t>
      </w:r>
    </w:p>
    <w:p w14:paraId="2DA828A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4. Condições especiais</w:t>
      </w:r>
    </w:p>
    <w:p w14:paraId="272B8A0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0.5858</w:t>
      </w:r>
    </w:p>
    <w:p w14:paraId="4C5BB4D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Texto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</w:p>
    <w:p w14:paraId="75367F9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[Seção: 4. Condições especiais]</w:t>
      </w:r>
    </w:p>
    <w:p w14:paraId="46C8AC2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O prazo de entrega para frete especial é calculado como o prazo padrão da rota + 2 dias úteis adicionais para manuseio de carga pesada.</w:t>
      </w:r>
    </w:p>
    <w:p w14:paraId="1B80285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- Cargas acima de 5.000kg requerem aprovação prévia do gerente de operações regional.</w:t>
      </w:r>
    </w:p>
    <w:p w14:paraId="1E99180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- Cargas perigosas com peso acima de 500kg seguem tabela específica (PROC-043: Frete de Cargas Perigosas).</w:t>
      </w:r>
    </w:p>
    <w:p w14:paraId="723ABC3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- Descontos de volume (mais de 10 fretes especiais/mês para o mesmo cliente) devem ser negociados pelo Comercial e registrados em aditivo contratual.</w:t>
      </w:r>
    </w:p>
    <w:p w14:paraId="5254AD9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593E7C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6305F9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[Trecho 2]</w:t>
      </w:r>
    </w:p>
    <w:p w14:paraId="68CF0B1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PROC-042-frete-especial-v1.md</w:t>
      </w:r>
    </w:p>
    <w:p w14:paraId="69E8CA1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3. Prazo de entrega para frete especial</w:t>
      </w:r>
    </w:p>
    <w:p w14:paraId="229DCDA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0.5635</w:t>
      </w:r>
    </w:p>
    <w:p w14:paraId="1AE7CF8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Texto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</w:p>
    <w:p w14:paraId="4A10F63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[Seção: 3. Prazo de entrega para frete especial]</w:t>
      </w:r>
    </w:p>
    <w:p w14:paraId="07C247B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O prazo de entrega para frete especial é calculado como o prazo padrão da rota + 2 dias úteis adicionais para manuseio de carga pesada.</w:t>
      </w:r>
    </w:p>
    <w:p w14:paraId="4346FA7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504B600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70C6EBF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[Trecho 3]</w:t>
      </w:r>
    </w:p>
    <w:p w14:paraId="1A58993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FAQ-atendimento.md</w:t>
      </w:r>
    </w:p>
    <w:p w14:paraId="53FA84F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Item 3 — "Cliente perguntou se pode devolver carga perigosa. O que respondo?"</w:t>
      </w:r>
    </w:p>
    <w:p w14:paraId="4CCB8AC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0.5567</w:t>
      </w:r>
    </w:p>
    <w:p w14:paraId="379739E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lastRenderedPageBreak/>
        <w:t xml:space="preserve">Texto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</w:p>
    <w:p w14:paraId="3F95FFD5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[Seção: Item 3 — "Cliente perguntou se pode devolver carga perigosa. O que respondo?"]</w:t>
      </w:r>
    </w:p>
    <w:p w14:paraId="788453D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informações desatualizadas ou imprecisas. Aviso interno: Este FAQ foi criado organicamente pelo time de atendimento ao longo de 2 anos. As respostas refletem a experiência prática dos atendentes, mas NÃO foram validadas contra os documentos oficiais (POL, PROC, SLA). Use com cautela e sempre confirme informações críticas na documentação normativa.</w:t>
      </w:r>
    </w:p>
    <w:p w14:paraId="0791213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Na prática, a gente orienta o cliente a ligar no ramal 4500 (Gestão de Riscos). Oficialmente não pode pelo processo padrão, mas já tiveram casos em que o pessoal de Riscos autorizou exceção. Então não diga que é impossível — diga que precisa de tratamento especial.</w:t>
      </w:r>
    </w:p>
    <w:p w14:paraId="65B336BB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7478D49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7F03EBD4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[Trecho 4]</w:t>
      </w:r>
    </w:p>
    <w:p w14:paraId="547B1AB3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FAQ-atendimento.md</w:t>
      </w:r>
    </w:p>
    <w:p w14:paraId="11BC3A7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Item 22 — "Cliente quer saber sobre seguro de carga. O que falar?"</w:t>
      </w:r>
    </w:p>
    <w:p w14:paraId="7D1ACCB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0.5500</w:t>
      </w:r>
    </w:p>
    <w:p w14:paraId="082CE6F2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Texto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</w:p>
    <w:p w14:paraId="3DA490A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[Seção: Item 22 — "Cliente quer saber sobre seguro de carga. O que falar?"]</w:t>
      </w:r>
    </w:p>
    <w:p w14:paraId="6D4D4B99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Não existe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tier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Platinum na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. Às vezes o cliente confunde com outra transportadora ou com o programa de fidelidade antigo que foi descontinuado em 2022. Oriente que nossos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tiers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são Gold, Silver e Standard e peça o número do contrato para verificar.</w:t>
      </w:r>
    </w:p>
    <w:p w14:paraId="495A27FD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A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oferece seguro de carga como adicional. O valor é 0,3% do valor declarado da mercadoria para cargas padrão e 0,8% para cargas perigosas. Detalhe: isso vale para contratos a partir de 2023. Contratos mais antigos podem ter percentuais diferentes — confirme com o Comercial.</w:t>
      </w:r>
    </w:p>
    <w:p w14:paraId="22BCF50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611828F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28CA807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[Trecho 5]</w:t>
      </w:r>
    </w:p>
    <w:p w14:paraId="7BAE366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>Arquivo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POL-001-politica-devolucao.md</w:t>
      </w:r>
    </w:p>
    <w:p w14:paraId="6569247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Seção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2. Escopo</w:t>
      </w:r>
    </w:p>
    <w:p w14:paraId="0DA7F0F9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Score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0.5473</w:t>
      </w:r>
    </w:p>
    <w:p w14:paraId="7ED445D6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Texto </w:t>
      </w:r>
      <w:proofErr w:type="gramStart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 :</w:t>
      </w:r>
      <w:proofErr w:type="gramEnd"/>
    </w:p>
    <w:p w14:paraId="30882A9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[Seção: 2. Escopo]</w:t>
      </w:r>
    </w:p>
    <w:p w14:paraId="72D6A278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Esta política define as regras e procedimentos para devolução de mercadorias transportadas pela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>, aplicável a todos os tipos de cliente e categorias de carga, salvo exceções explicitamente listadas na seção 3.</w:t>
      </w:r>
    </w:p>
    <w:p w14:paraId="2F23B79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Aplica-se a todas as devoluções solicitadas por clientes da </w:t>
      </w:r>
      <w:proofErr w:type="spellStart"/>
      <w:r w:rsidRPr="0030184D">
        <w:rPr>
          <w:rFonts w:ascii="Consolas" w:hAnsi="Consolas"/>
          <w:i/>
          <w:iCs/>
          <w:sz w:val="16"/>
          <w:szCs w:val="16"/>
          <w:lang w:val="pt-BR"/>
        </w:rPr>
        <w:t>NovaTech</w:t>
      </w:r>
      <w:proofErr w:type="spellEnd"/>
      <w:r w:rsidRPr="0030184D">
        <w:rPr>
          <w:rFonts w:ascii="Consolas" w:hAnsi="Consolas"/>
          <w:i/>
          <w:iCs/>
          <w:sz w:val="16"/>
          <w:szCs w:val="16"/>
          <w:lang w:val="pt-BR"/>
        </w:rPr>
        <w:t xml:space="preserve"> após a entrega da mercadoria. Não se aplica a mercadorias ainda em trânsito (para essas, consultar PROC-088: Procedimento de Interceptação de Carga).</w:t>
      </w:r>
    </w:p>
    <w:p w14:paraId="084758E7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42A541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56E986DE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57E7E48A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PERGUNTA DO ATENDENTE</w:t>
      </w:r>
    </w:p>
    <w:p w14:paraId="76375F91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</w:p>
    <w:p w14:paraId="455A2AEC" w14:textId="77777777" w:rsidR="0030184D" w:rsidRPr="0030184D" w:rsidRDefault="0030184D" w:rsidP="0030184D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Qual o prazo de devolução para carga perigosa?</w:t>
      </w:r>
    </w:p>
    <w:p w14:paraId="5CB2FAFB" w14:textId="2F2D7348" w:rsidR="0030184D" w:rsidRPr="005540E7" w:rsidRDefault="0030184D" w:rsidP="0030184D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30184D">
        <w:rPr>
          <w:rFonts w:ascii="Consolas" w:hAnsi="Consolas"/>
          <w:i/>
          <w:iCs/>
          <w:sz w:val="16"/>
          <w:szCs w:val="16"/>
          <w:lang w:val="pt-BR"/>
        </w:rPr>
        <w:t>========================================================================</w:t>
      </w: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59534666" w14:textId="77777777" w:rsidR="0030184D" w:rsidRPr="0030184D" w:rsidRDefault="0030184D" w:rsidP="0030184D">
      <w:pPr>
        <w:pBdr>
          <w:bottom w:val="single" w:sz="6" w:space="1" w:color="auto"/>
        </w:pBdr>
        <w:rPr>
          <w:rFonts w:ascii="Calibri" w:hAnsi="Calibri" w:cs="Calibri"/>
          <w:b/>
          <w:bCs/>
        </w:rPr>
      </w:pPr>
      <w:proofErr w:type="spellStart"/>
      <w:r w:rsidRPr="0030184D">
        <w:rPr>
          <w:rFonts w:ascii="Calibri" w:hAnsi="Calibri" w:cs="Calibri"/>
          <w:b/>
          <w:bCs/>
        </w:rPr>
        <w:t>Resposta</w:t>
      </w:r>
      <w:proofErr w:type="spellEnd"/>
    </w:p>
    <w:p w14:paraId="07AE29C7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>Analisando esse system prompt e os chunks recuperados, consigo identificar o que está acontecendo aqui — você está testando/avaliando o comportamento de um RAG assistant, provavelmente para validar se ele lida corretamente com casos edge como este.</w:t>
      </w:r>
    </w:p>
    <w:p w14:paraId="3F856D9E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proofErr w:type="gramStart"/>
      <w:r w:rsidRPr="0030184D">
        <w:rPr>
          <w:rFonts w:ascii="Georgia" w:hAnsi="Georgia"/>
          <w:sz w:val="22"/>
          <w:szCs w:val="22"/>
          <w:lang w:val="pt-BR"/>
        </w:rPr>
        <w:t>Deixa eu</w:t>
      </w:r>
      <w:proofErr w:type="gramEnd"/>
      <w:r w:rsidRPr="0030184D">
        <w:rPr>
          <w:rFonts w:ascii="Georgia" w:hAnsi="Georgia"/>
          <w:sz w:val="22"/>
          <w:szCs w:val="22"/>
          <w:lang w:val="pt-BR"/>
        </w:rPr>
        <w:t xml:space="preserve"> te dar a resposta que o NovaTech Assistant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deveria</w:t>
      </w:r>
      <w:r w:rsidRPr="0030184D">
        <w:rPr>
          <w:rFonts w:ascii="Georgia" w:hAnsi="Georgia"/>
          <w:sz w:val="22"/>
          <w:szCs w:val="22"/>
          <w:lang w:val="pt-BR"/>
        </w:rPr>
        <w:t xml:space="preserve"> produzir, seguida de uma análise do caso.</w:t>
      </w:r>
    </w:p>
    <w:p w14:paraId="7CCB1452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61391A75">
          <v:rect id="_x0000_i1061" style="width:0;height:1.5pt" o:hralign="center" o:hrstd="t" o:hr="t" fillcolor="#a0a0a0" stroked="f"/>
        </w:pict>
      </w:r>
    </w:p>
    <w:p w14:paraId="15D78A66" w14:textId="77777777" w:rsidR="0030184D" w:rsidRPr="0030184D" w:rsidRDefault="0030184D" w:rsidP="0030184D">
      <w:pPr>
        <w:rPr>
          <w:rFonts w:ascii="Georgia" w:hAnsi="Georgia"/>
          <w:b/>
          <w:bCs/>
          <w:sz w:val="22"/>
          <w:szCs w:val="22"/>
        </w:rPr>
      </w:pPr>
      <w:proofErr w:type="spellStart"/>
      <w:r w:rsidRPr="0030184D">
        <w:rPr>
          <w:rFonts w:ascii="Georgia" w:hAnsi="Georgia"/>
          <w:b/>
          <w:bCs/>
          <w:sz w:val="22"/>
          <w:szCs w:val="22"/>
        </w:rPr>
        <w:t>Resposta</w:t>
      </w:r>
      <w:proofErr w:type="spellEnd"/>
      <w:r w:rsidRPr="0030184D">
        <w:rPr>
          <w:rFonts w:ascii="Georgia" w:hAnsi="Georgia"/>
          <w:b/>
          <w:bCs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b/>
          <w:bCs/>
          <w:sz w:val="22"/>
          <w:szCs w:val="22"/>
        </w:rPr>
        <w:t>esperada</w:t>
      </w:r>
      <w:proofErr w:type="spellEnd"/>
      <w:r w:rsidRPr="0030184D">
        <w:rPr>
          <w:rFonts w:ascii="Georgia" w:hAnsi="Georgia"/>
          <w:b/>
          <w:bCs/>
          <w:sz w:val="22"/>
          <w:szCs w:val="22"/>
        </w:rPr>
        <w:t xml:space="preserve"> do </w:t>
      </w:r>
      <w:proofErr w:type="spellStart"/>
      <w:r w:rsidRPr="0030184D">
        <w:rPr>
          <w:rFonts w:ascii="Georgia" w:hAnsi="Georgia"/>
          <w:b/>
          <w:bCs/>
          <w:sz w:val="22"/>
          <w:szCs w:val="22"/>
        </w:rPr>
        <w:t>NovaTech</w:t>
      </w:r>
      <w:proofErr w:type="spellEnd"/>
      <w:r w:rsidRPr="0030184D">
        <w:rPr>
          <w:rFonts w:ascii="Georgia" w:hAnsi="Georgia"/>
          <w:b/>
          <w:bCs/>
          <w:sz w:val="22"/>
          <w:szCs w:val="22"/>
        </w:rPr>
        <w:t xml:space="preserve"> Assistant</w:t>
      </w:r>
    </w:p>
    <w:p w14:paraId="08E5213B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66B8E81F">
          <v:rect id="_x0000_i1062" style="width:0;height:1.5pt" o:hralign="center" o:hrstd="t" o:hr="t" fillcolor="#a0a0a0" stroked="f"/>
        </w:pict>
      </w:r>
    </w:p>
    <w:p w14:paraId="5938946C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RESPOSTA DIRETA</w:t>
      </w:r>
    </w:p>
    <w:p w14:paraId="6AA2D1B7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lastRenderedPageBreak/>
        <w:t>A documentação disponível nesta consulta não contém o prazo de devolução específico para cargas perigosas. A política de devolução (POL-001) exclui explicitamente categorias listadas em sua seção 3, e os trechos recuperados não trazem essa seção.</w:t>
      </w:r>
    </w:p>
    <w:p w14:paraId="03545B8F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5EADE37F">
          <v:rect id="_x0000_i1063" style="width:0;height:1.5pt" o:hralign="center" o:hrstd="t" o:hr="t" fillcolor="#a0a0a0" stroked="f"/>
        </w:pict>
      </w:r>
    </w:p>
    <w:p w14:paraId="56493D03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b/>
          <w:bCs/>
          <w:sz w:val="22"/>
          <w:szCs w:val="22"/>
        </w:rPr>
        <w:t>DETALHES</w:t>
      </w:r>
    </w:p>
    <w:p w14:paraId="52B6818B" w14:textId="77777777" w:rsidR="0030184D" w:rsidRPr="0030184D" w:rsidRDefault="0030184D" w:rsidP="0030184D">
      <w:pPr>
        <w:numPr>
          <w:ilvl w:val="0"/>
          <w:numId w:val="1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A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POL-001</w:t>
      </w:r>
      <w:r w:rsidRPr="0030184D">
        <w:rPr>
          <w:rFonts w:ascii="Georgia" w:hAnsi="Georgia"/>
          <w:sz w:val="22"/>
          <w:szCs w:val="22"/>
          <w:lang w:val="pt-BR"/>
        </w:rPr>
        <w:t xml:space="preserve"> define o escopo geral de devoluções, mas menciona "exceções explicitamente listadas na seção 3" — esse conteúdo não foi recuperado nesta consulta.</w:t>
      </w:r>
    </w:p>
    <w:p w14:paraId="3E94A017" w14:textId="77777777" w:rsidR="0030184D" w:rsidRPr="0030184D" w:rsidRDefault="0030184D" w:rsidP="0030184D">
      <w:pPr>
        <w:numPr>
          <w:ilvl w:val="0"/>
          <w:numId w:val="1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O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PROC-042</w:t>
      </w:r>
      <w:r w:rsidRPr="0030184D">
        <w:rPr>
          <w:rFonts w:ascii="Georgia" w:hAnsi="Georgia"/>
          <w:sz w:val="22"/>
          <w:szCs w:val="22"/>
          <w:lang w:val="pt-BR"/>
        </w:rPr>
        <w:t xml:space="preserve"> trata de frete especial para cargas perigosas, não de devolução.</w:t>
      </w:r>
    </w:p>
    <w:p w14:paraId="66CE7017" w14:textId="77777777" w:rsidR="0030184D" w:rsidRPr="0030184D" w:rsidRDefault="0030184D" w:rsidP="0030184D">
      <w:pPr>
        <w:numPr>
          <w:ilvl w:val="0"/>
          <w:numId w:val="1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O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FAQ-atendimento (Item 3)</w:t>
      </w:r>
      <w:r w:rsidRPr="0030184D">
        <w:rPr>
          <w:rFonts w:ascii="Georgia" w:hAnsi="Georgia"/>
          <w:sz w:val="22"/>
          <w:szCs w:val="22"/>
          <w:lang w:val="pt-BR"/>
        </w:rPr>
        <w:t xml:space="preserve"> contém orientação informal sobre o tema, mas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carrega aviso explícito de não validação contra documentos oficiais</w:t>
      </w:r>
      <w:r w:rsidRPr="0030184D">
        <w:rPr>
          <w:rFonts w:ascii="Georgia" w:hAnsi="Georgia"/>
          <w:sz w:val="22"/>
          <w:szCs w:val="22"/>
          <w:lang w:val="pt-BR"/>
        </w:rPr>
        <w:t xml:space="preserve"> — não deve ser usado como fonte normativa.</w:t>
      </w:r>
    </w:p>
    <w:p w14:paraId="18AF051D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4FFD711A">
          <v:rect id="_x0000_i1064" style="width:0;height:1.5pt" o:hralign="center" o:hrstd="t" o:hr="t" fillcolor="#a0a0a0" stroked="f"/>
        </w:pict>
      </w:r>
    </w:p>
    <w:p w14:paraId="0D63EC73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FONTE(S)</w:t>
      </w:r>
    </w:p>
    <w:p w14:paraId="4D72B31F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[Fonte: POL-001-politica-devolucao.md · Seção 2. Escopo] [Fonte: FAQ-atendimento.md · Item 3] </w:t>
      </w:r>
      <w:r w:rsidRPr="0030184D">
        <w:rPr>
          <w:rFonts w:ascii="Georgia" w:hAnsi="Georgia"/>
          <w:i/>
          <w:iCs/>
          <w:sz w:val="22"/>
          <w:szCs w:val="22"/>
          <w:lang w:val="pt-BR"/>
        </w:rPr>
        <w:t>(apenas para registro; conteúdo não validado — ver ATENÇÃO)</w:t>
      </w:r>
    </w:p>
    <w:p w14:paraId="444E80B5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48E8D6D9">
          <v:rect id="_x0000_i1065" style="width:0;height:1.5pt" o:hralign="center" o:hrstd="t" o:hr="t" fillcolor="#a0a0a0" stroked="f"/>
        </w:pict>
      </w:r>
    </w:p>
    <w:p w14:paraId="12AC6E6F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ATENÇÃO</w:t>
      </w:r>
    </w:p>
    <w:p w14:paraId="7C154128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O FAQ-atendimento contém resposta informal para esse cenário, mas o próprio documento avisa que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não foi validado contra documentação normativa</w:t>
      </w:r>
      <w:r w:rsidRPr="0030184D">
        <w:rPr>
          <w:rFonts w:ascii="Georgia" w:hAnsi="Georgia"/>
          <w:sz w:val="22"/>
          <w:szCs w:val="22"/>
          <w:lang w:val="pt-BR"/>
        </w:rPr>
        <w:t>. Usar essa orientação com clientes representa risco de compliance.</w:t>
      </w:r>
    </w:p>
    <w:p w14:paraId="56719B82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Recomendo escalar para o supervisor ou consultar diretamente o documento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POL-001, seção 3</w:t>
      </w:r>
      <w:r w:rsidRPr="0030184D">
        <w:rPr>
          <w:rFonts w:ascii="Georgia" w:hAnsi="Georgia"/>
          <w:sz w:val="22"/>
          <w:szCs w:val="22"/>
          <w:lang w:val="pt-BR"/>
        </w:rPr>
        <w:t xml:space="preserve"> (exceções ao escopo) e, se necessário, a equipe de Gestão de Riscos.</w:t>
      </w:r>
    </w:p>
    <w:p w14:paraId="5F67AD5B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</w:rPr>
        <w:pict w14:anchorId="27872BF5">
          <v:rect id="_x0000_i1066" style="width:0;height:1.5pt" o:hralign="center" o:hrstd="t" o:hr="t" fillcolor="#a0a0a0" stroked="f"/>
        </w:pict>
      </w:r>
    </w:p>
    <w:p w14:paraId="277261D0" w14:textId="77777777" w:rsidR="0030184D" w:rsidRPr="0030184D" w:rsidRDefault="0030184D" w:rsidP="0030184D">
      <w:pPr>
        <w:rPr>
          <w:rFonts w:ascii="Georgia" w:hAnsi="Georgia"/>
          <w:b/>
          <w:bCs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Por que essa resposta é a correta</w:t>
      </w:r>
    </w:p>
    <w:p w14:paraId="6A1F35A9" w14:textId="77777777" w:rsidR="0030184D" w:rsidRPr="0030184D" w:rsidRDefault="0030184D" w:rsidP="0030184D">
      <w:pPr>
        <w:rPr>
          <w:rFonts w:ascii="Georgia" w:hAnsi="Georgia"/>
          <w:sz w:val="22"/>
          <w:szCs w:val="22"/>
        </w:rPr>
      </w:pPr>
      <w:r w:rsidRPr="0030184D">
        <w:rPr>
          <w:rFonts w:ascii="Georgia" w:hAnsi="Georgia"/>
          <w:sz w:val="22"/>
          <w:szCs w:val="22"/>
          <w:lang w:val="pt-BR"/>
        </w:rPr>
        <w:t xml:space="preserve">O caso é um teste clássico de </w:t>
      </w:r>
      <w:r w:rsidRPr="0030184D">
        <w:rPr>
          <w:rFonts w:ascii="Georgia" w:hAnsi="Georgia"/>
          <w:b/>
          <w:bCs/>
          <w:sz w:val="22"/>
          <w:szCs w:val="22"/>
          <w:lang w:val="pt-BR"/>
        </w:rPr>
        <w:t>conflito entre fonte confiável ausente e fonte não confiável presente</w:t>
      </w:r>
      <w:r w:rsidRPr="0030184D">
        <w:rPr>
          <w:rFonts w:ascii="Georgia" w:hAnsi="Georgia"/>
          <w:sz w:val="22"/>
          <w:szCs w:val="22"/>
          <w:lang w:val="pt-BR"/>
        </w:rPr>
        <w:t xml:space="preserve">. </w:t>
      </w:r>
      <w:r w:rsidRPr="0030184D">
        <w:rPr>
          <w:rFonts w:ascii="Georgia" w:hAnsi="Georgia"/>
          <w:sz w:val="22"/>
          <w:szCs w:val="22"/>
        </w:rPr>
        <w:t xml:space="preserve">O </w:t>
      </w:r>
      <w:proofErr w:type="spellStart"/>
      <w:r w:rsidRPr="0030184D">
        <w:rPr>
          <w:rFonts w:ascii="Georgia" w:hAnsi="Georgia"/>
          <w:sz w:val="22"/>
          <w:szCs w:val="22"/>
        </w:rPr>
        <w:t>assistente</w:t>
      </w:r>
      <w:proofErr w:type="spellEnd"/>
      <w:r w:rsidRPr="0030184D">
        <w:rPr>
          <w:rFonts w:ascii="Georgia" w:hAnsi="Georgia"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sz w:val="22"/>
          <w:szCs w:val="22"/>
        </w:rPr>
        <w:t>tem</w:t>
      </w:r>
      <w:proofErr w:type="spellEnd"/>
      <w:r w:rsidRPr="0030184D">
        <w:rPr>
          <w:rFonts w:ascii="Georgia" w:hAnsi="Georgia"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sz w:val="22"/>
          <w:szCs w:val="22"/>
        </w:rPr>
        <w:t>três</w:t>
      </w:r>
      <w:proofErr w:type="spellEnd"/>
      <w:r w:rsidRPr="0030184D">
        <w:rPr>
          <w:rFonts w:ascii="Georgia" w:hAnsi="Georgia"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sz w:val="22"/>
          <w:szCs w:val="22"/>
        </w:rPr>
        <w:t>opções</w:t>
      </w:r>
      <w:proofErr w:type="spellEnd"/>
      <w:r w:rsidRPr="0030184D">
        <w:rPr>
          <w:rFonts w:ascii="Georgia" w:hAnsi="Georgia"/>
          <w:sz w:val="22"/>
          <w:szCs w:val="22"/>
        </w:rPr>
        <w:t xml:space="preserve"> ruins </w:t>
      </w:r>
      <w:proofErr w:type="spellStart"/>
      <w:r w:rsidRPr="0030184D">
        <w:rPr>
          <w:rFonts w:ascii="Georgia" w:hAnsi="Georgia"/>
          <w:sz w:val="22"/>
          <w:szCs w:val="22"/>
        </w:rPr>
        <w:t>que</w:t>
      </w:r>
      <w:proofErr w:type="spellEnd"/>
      <w:r w:rsidRPr="0030184D">
        <w:rPr>
          <w:rFonts w:ascii="Georgia" w:hAnsi="Georgia"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sz w:val="22"/>
          <w:szCs w:val="22"/>
        </w:rPr>
        <w:t>deve</w:t>
      </w:r>
      <w:proofErr w:type="spellEnd"/>
      <w:r w:rsidRPr="0030184D">
        <w:rPr>
          <w:rFonts w:ascii="Georgia" w:hAnsi="Georgia"/>
          <w:sz w:val="22"/>
          <w:szCs w:val="22"/>
        </w:rPr>
        <w:t xml:space="preserve"> </w:t>
      </w:r>
      <w:proofErr w:type="spellStart"/>
      <w:r w:rsidRPr="0030184D">
        <w:rPr>
          <w:rFonts w:ascii="Georgia" w:hAnsi="Georgia"/>
          <w:sz w:val="22"/>
          <w:szCs w:val="22"/>
        </w:rPr>
        <w:t>evitar</w:t>
      </w:r>
      <w:proofErr w:type="spellEnd"/>
      <w:r w:rsidRPr="0030184D">
        <w:rPr>
          <w:rFonts w:ascii="Georgia" w:hAnsi="Georgia"/>
          <w:sz w:val="22"/>
          <w:szCs w:val="22"/>
        </w:rPr>
        <w:t>:</w:t>
      </w:r>
    </w:p>
    <w:p w14:paraId="4A5A9113" w14:textId="77777777" w:rsidR="0030184D" w:rsidRPr="0030184D" w:rsidRDefault="0030184D" w:rsidP="0030184D">
      <w:pPr>
        <w:numPr>
          <w:ilvl w:val="0"/>
          <w:numId w:val="2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Usar o FAQ como se fosse normativa</w:t>
      </w:r>
      <w:r w:rsidRPr="0030184D">
        <w:rPr>
          <w:rFonts w:ascii="Georgia" w:hAnsi="Georgia"/>
          <w:sz w:val="22"/>
          <w:szCs w:val="22"/>
          <w:lang w:val="pt-BR"/>
        </w:rPr>
        <w:t xml:space="preserve"> — viola R2 e introduz risco de compliance.</w:t>
      </w:r>
    </w:p>
    <w:p w14:paraId="0F7C6956" w14:textId="77777777" w:rsidR="0030184D" w:rsidRPr="0030184D" w:rsidRDefault="0030184D" w:rsidP="0030184D">
      <w:pPr>
        <w:numPr>
          <w:ilvl w:val="0"/>
          <w:numId w:val="2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Dizer apenas "não encontrei"</w:t>
      </w:r>
      <w:r w:rsidRPr="0030184D">
        <w:rPr>
          <w:rFonts w:ascii="Georgia" w:hAnsi="Georgia"/>
          <w:sz w:val="22"/>
          <w:szCs w:val="22"/>
          <w:lang w:val="pt-BR"/>
        </w:rPr>
        <w:t xml:space="preserve"> sem notar que o FAQ </w:t>
      </w:r>
      <w:proofErr w:type="gramStart"/>
      <w:r w:rsidRPr="0030184D">
        <w:rPr>
          <w:rFonts w:ascii="Georgia" w:hAnsi="Georgia"/>
          <w:i/>
          <w:iCs/>
          <w:sz w:val="22"/>
          <w:szCs w:val="22"/>
          <w:lang w:val="pt-BR"/>
        </w:rPr>
        <w:t>existe</w:t>
      </w:r>
      <w:proofErr w:type="gramEnd"/>
      <w:r w:rsidRPr="0030184D">
        <w:rPr>
          <w:rFonts w:ascii="Georgia" w:hAnsi="Georgia"/>
          <w:sz w:val="22"/>
          <w:szCs w:val="22"/>
          <w:lang w:val="pt-BR"/>
        </w:rPr>
        <w:t xml:space="preserve"> mas é não-validado — perde informação útil para o atendente.</w:t>
      </w:r>
    </w:p>
    <w:p w14:paraId="32E1BD25" w14:textId="77777777" w:rsidR="0030184D" w:rsidRPr="0030184D" w:rsidRDefault="0030184D" w:rsidP="0030184D">
      <w:pPr>
        <w:numPr>
          <w:ilvl w:val="0"/>
          <w:numId w:val="2"/>
        </w:num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b/>
          <w:bCs/>
          <w:sz w:val="22"/>
          <w:szCs w:val="22"/>
          <w:lang w:val="pt-BR"/>
        </w:rPr>
        <w:t>Inventar prazo</w:t>
      </w:r>
      <w:r w:rsidRPr="0030184D">
        <w:rPr>
          <w:rFonts w:ascii="Georgia" w:hAnsi="Georgia"/>
          <w:sz w:val="22"/>
          <w:szCs w:val="22"/>
          <w:lang w:val="pt-BR"/>
        </w:rPr>
        <w:t xml:space="preserve"> baseado em analogia com frete padrão — viola R2 diretamente.</w:t>
      </w:r>
    </w:p>
    <w:p w14:paraId="1921F110" w14:textId="77777777" w:rsidR="0030184D" w:rsidRPr="0030184D" w:rsidRDefault="0030184D" w:rsidP="0030184D">
      <w:pPr>
        <w:rPr>
          <w:rFonts w:ascii="Georgia" w:hAnsi="Georgia"/>
          <w:sz w:val="22"/>
          <w:szCs w:val="22"/>
          <w:lang w:val="pt-BR"/>
        </w:rPr>
      </w:pPr>
      <w:r w:rsidRPr="0030184D">
        <w:rPr>
          <w:rFonts w:ascii="Georgia" w:hAnsi="Georgia"/>
          <w:sz w:val="22"/>
          <w:szCs w:val="22"/>
          <w:lang w:val="pt-BR"/>
        </w:rPr>
        <w:lastRenderedPageBreak/>
        <w:t>A resposta correta reconhece que a seção 3 da POL-001 (as exceções) provavelmente contém a resposta, mas não foi recuperada — e isso precisa ser dito explicitamente ao atendente para que ele saiba onde buscar.</w:t>
      </w:r>
    </w:p>
    <w:p w14:paraId="7BEFB288" w14:textId="77777777" w:rsidR="00936853" w:rsidRPr="0030184D" w:rsidRDefault="00936853">
      <w:pPr>
        <w:rPr>
          <w:lang w:val="pt-BR"/>
        </w:rPr>
      </w:pPr>
    </w:p>
    <w:sectPr w:rsidR="00936853" w:rsidRPr="0030184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7BEE"/>
    <w:multiLevelType w:val="multilevel"/>
    <w:tmpl w:val="75A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F0C32"/>
    <w:multiLevelType w:val="multilevel"/>
    <w:tmpl w:val="3B8A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957981">
    <w:abstractNumId w:val="0"/>
  </w:num>
  <w:num w:numId="2" w16cid:durableId="106144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27"/>
    <w:rsid w:val="00007B0C"/>
    <w:rsid w:val="0030184D"/>
    <w:rsid w:val="003931CA"/>
    <w:rsid w:val="004D3793"/>
    <w:rsid w:val="007E70E0"/>
    <w:rsid w:val="0093532D"/>
    <w:rsid w:val="00936853"/>
    <w:rsid w:val="00A00027"/>
    <w:rsid w:val="00DF0AC2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8DD239-337F-4B86-B139-19FC3CF9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84D"/>
  </w:style>
  <w:style w:type="paragraph" w:styleId="Ttulo1">
    <w:name w:val="heading 1"/>
    <w:basedOn w:val="Normal"/>
    <w:next w:val="Normal"/>
    <w:link w:val="Ttulo1Char"/>
    <w:uiPriority w:val="9"/>
    <w:qFormat/>
    <w:rsid w:val="00A0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0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0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0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0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0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0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0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1632</Words>
  <Characters>8997</Characters>
  <Application>Microsoft Office Word</Application>
  <DocSecurity>0</DocSecurity>
  <Lines>219</Lines>
  <Paragraphs>125</Paragraphs>
  <ScaleCrop>false</ScaleCrop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2</cp:revision>
  <dcterms:created xsi:type="dcterms:W3CDTF">2026-06-05T18:57:00Z</dcterms:created>
  <dcterms:modified xsi:type="dcterms:W3CDTF">2026-06-05T19:02:00Z</dcterms:modified>
</cp:coreProperties>
</file>