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563EB"/>
          <w:sz w:val="40"/>
          <w:szCs w:val="40"/>
        </w:rPr>
        <w:t xml:space="preserve">FAAB</w:t>
      </w:r>
      <w:r>
        <w:rPr>
          <w:rFonts w:ascii="Arial" w:cs="Arial" w:eastAsia="Arial" w:hAnsi="Arial"/>
          <w:b/>
          <w:bCs/>
          <w:color w:val="D97706"/>
          <w:sz w:val="40"/>
          <w:szCs w:val="40"/>
        </w:rPr>
        <w:t xml:space="preserve">Advisor</w:t>
      </w:r>
      <w:r>
        <w:rPr>
          <w:rFonts w:ascii="Arial" w:cs="Arial" w:eastAsia="Arial" w:hAnsi="Arial"/>
          <w:color w:val="334155"/>
          <w:sz w:val="24"/>
          <w:szCs w:val="24"/>
        </w:rPr>
        <w:t xml:space="preserve">  —  Chrome Extension + Web Platform</w:t>
      </w:r>
    </w:p>
    <w:p>
      <w:pPr>
        <w:pBdr>
          <w:bottom w:val="single" w:color="2563EB" w:sz="2" w:space="6"/>
        </w:pBdr>
        <w:spacing w:after="160"/>
      </w:pPr>
      <w:r>
        <w:rPr>
          <w:rFonts w:ascii="Arial" w:cs="Arial" w:eastAsia="Arial" w:hAnsi="Arial"/>
          <w:i/>
          <w:iCs/>
          <w:color w:val="334155"/>
          <w:sz w:val="20"/>
          <w:szCs w:val="20"/>
        </w:rPr>
        <w:t xml:space="preserve">Pivot Summary: From standalone web app to a “ZoomInfo for Fantasy” model — a Chrome extension that injects bid intelligence directly onto the NFC platform, backed by a web app command center.</w:t>
      </w:r>
    </w:p>
    <w:p>
      <w:pPr>
        <w:pStyle w:val="Heading1"/>
      </w:pPr>
      <w:r>
        <w:t xml:space="preserve">What Changed</w:t>
      </w:r>
    </w:p>
    <w:p>
      <w:pPr>
        <w:spacing w:after="100" w:line="264"/>
      </w:pPr>
      <w:r>
        <w:rPr>
          <w:rFonts w:ascii="Arial" w:cs="Arial" w:eastAsia="Arial" w:hAnsi="Arial"/>
          <w:sz w:val="20"/>
          <w:szCs w:val="20"/>
        </w:rPr>
        <w:t xml:space="preserve">Our original plan was a standalone web app where users manually upload league data via CSV. The pivot: instead of making users come to us, </w:t>
      </w:r>
      <w:r>
        <w:rPr>
          <w:rFonts w:ascii="Arial" w:cs="Arial" w:eastAsia="Arial" w:hAnsi="Arial"/>
          <w:b/>
          <w:bCs/>
          <w:sz w:val="20"/>
          <w:szCs w:val="20"/>
        </w:rPr>
        <w:t xml:space="preserve">we go to where they already are</w:t>
      </w:r>
      <w:r>
        <w:rPr>
          <w:rFonts w:ascii="Arial" w:cs="Arial" w:eastAsia="Arial" w:hAnsi="Arial"/>
          <w:sz w:val="20"/>
          <w:szCs w:val="20"/>
        </w:rPr>
        <w:t xml:space="preserve">. A Chrome extension runs in the background on the NFC platform, reads roster data, FAAB budgets, and free agent pools directly from the page, and injects bid recommendations right next to player names. </w:t>
      </w:r>
      <w:r>
        <w:rPr>
          <w:rFonts w:ascii="Arial" w:cs="Arial" w:eastAsia="Arial" w:hAnsi="Arial"/>
          <w:b/>
          <w:bCs/>
          <w:sz w:val="20"/>
          <w:szCs w:val="20"/>
        </w:rPr>
        <w:t xml:space="preserve">Zero data entry. Zero friction.</w:t>
      </w:r>
    </w:p>
    <w:p>
      <w:pPr>
        <w:spacing w:after="100" w:line="264"/>
      </w:pPr>
      <w:r>
        <w:rPr>
          <w:rFonts w:ascii="Arial" w:cs="Arial" w:eastAsia="Arial" w:hAnsi="Arial"/>
          <w:sz w:val="20"/>
          <w:szCs w:val="20"/>
        </w:rPr>
        <w:t xml:space="preserve">This is the ZoomInfo model — ZoomInfo injects contact data directly onto LinkedIn profiles. We inject FAAB bid intelligence directly onto NFC waiver wire pages. The extension is the </w:t>
      </w:r>
      <w:r>
        <w:rPr>
          <w:rFonts w:ascii="Arial" w:cs="Arial" w:eastAsia="Arial" w:hAnsi="Arial"/>
          <w:b/>
          <w:bCs/>
          <w:color w:val="2563EB"/>
          <w:sz w:val="20"/>
          <w:szCs w:val="20"/>
        </w:rPr>
        <w:t xml:space="preserve">point of action</w:t>
      </w:r>
      <w:r>
        <w:rPr>
          <w:rFonts w:ascii="Arial" w:cs="Arial" w:eastAsia="Arial" w:hAnsi="Arial"/>
          <w:sz w:val="20"/>
          <w:szCs w:val="20"/>
        </w:rPr>
        <w:t xml:space="preserve"> (where bids happen). A companion web app is the </w:t>
      </w:r>
      <w:r>
        <w:rPr>
          <w:rFonts w:ascii="Arial" w:cs="Arial" w:eastAsia="Arial" w:hAnsi="Arial"/>
          <w:b/>
          <w:bCs/>
          <w:color w:val="D97706"/>
          <w:sz w:val="20"/>
          <w:szCs w:val="20"/>
        </w:rPr>
        <w:t xml:space="preserve">command center</w:t>
      </w:r>
      <w:r>
        <w:rPr>
          <w:rFonts w:ascii="Arial" w:cs="Arial" w:eastAsia="Arial" w:hAnsi="Arial"/>
          <w:sz w:val="20"/>
          <w:szCs w:val="20"/>
        </w:rPr>
        <w:t xml:space="preserve"> (analytics, history, account management).</w:t>
      </w:r>
    </w:p>
    <w:p>
      <w:pPr>
        <w:pStyle w:val="Heading1"/>
      </w:pPr>
      <w:r>
        <w:t xml:space="preserve">Proof of Concept — Built &amp; Working</w:t>
      </w:r>
    </w:p>
    <w:p>
      <w:pPr>
        <w:spacing w:after="100" w:line="264"/>
      </w:pPr>
      <w:r>
        <w:rPr>
          <w:rFonts w:ascii="Arial" w:cs="Arial" w:eastAsia="Arial" w:hAnsi="Arial"/>
          <w:sz w:val="20"/>
          <w:szCs w:val="20"/>
        </w:rPr>
        <w:t xml:space="preserve">A working Chrome extension PoC has been built targeting </w:t>
      </w:r>
      <w:r>
        <w:rPr>
          <w:rFonts w:ascii="Arial" w:cs="Arial" w:eastAsia="Arial" w:hAnsi="Arial"/>
          <w:b/>
          <w:bCs/>
          <w:sz w:val="20"/>
          <w:szCs w:val="20"/>
        </w:rPr>
        <w:t xml:space="preserve">nfc.shgn.com</w:t>
      </w:r>
      <w:r>
        <w:rPr>
          <w:rFonts w:ascii="Arial" w:cs="Arial" w:eastAsia="Arial" w:hAnsi="Arial"/>
          <w:sz w:val="20"/>
          <w:szCs w:val="20"/>
        </w:rPr>
        <w:t xml:space="preserve">. It successfully injects a floating FAAB Advisor widget onto NFC league pages and can scan table rows on the page to detect roster and transaction data. The PoC validates three critical technical assumptions:</w:t>
      </w:r>
    </w:p>
    <w:p>
      <w:pPr>
        <w:pStyle w:val="ListParagraph"/>
        <w:numPr>
          <w:ilvl w:val="0"/>
          <w:numId w:val="2"/>
        </w:numPr>
        <w:spacing w:after="60" w:line="264"/>
      </w:pPr>
      <w:r>
        <w:rPr>
          <w:rFonts w:ascii="Arial" w:cs="Arial" w:eastAsia="Arial" w:hAnsi="Arial"/>
          <w:b/>
          <w:bCs/>
          <w:sz w:val="20"/>
          <w:szCs w:val="20"/>
        </w:rPr>
        <w:t xml:space="preserve">DOM access works: </w:t>
      </w:r>
      <w:r>
        <w:rPr>
          <w:rFonts w:ascii="Arial" w:cs="Arial" w:eastAsia="Arial" w:hAnsi="Arial"/>
          <w:sz w:val="20"/>
          <w:szCs w:val="20"/>
        </w:rPr>
        <w:t xml:space="preserve">The extension can read NFC’s page structure and find player/roster data in the HTML tables.</w:t>
      </w:r>
    </w:p>
    <w:p>
      <w:pPr>
        <w:pStyle w:val="ListParagraph"/>
        <w:numPr>
          <w:ilvl w:val="0"/>
          <w:numId w:val="2"/>
        </w:numPr>
        <w:spacing w:after="60" w:line="264"/>
      </w:pPr>
      <w:r>
        <w:rPr>
          <w:rFonts w:ascii="Arial" w:cs="Arial" w:eastAsia="Arial" w:hAnsi="Arial"/>
          <w:b/>
          <w:bCs/>
          <w:sz w:val="20"/>
          <w:szCs w:val="20"/>
        </w:rPr>
        <w:t xml:space="preserve">Injection works: </w:t>
      </w:r>
      <w:r>
        <w:rPr>
          <w:rFonts w:ascii="Arial" w:cs="Arial" w:eastAsia="Arial" w:hAnsi="Arial"/>
          <w:sz w:val="20"/>
          <w:szCs w:val="20"/>
        </w:rPr>
        <w:t xml:space="preserve">A styled overlay widget renders on top of NFC’s UI without breaking the page.</w:t>
      </w:r>
    </w:p>
    <w:p>
      <w:pPr>
        <w:pStyle w:val="ListParagraph"/>
        <w:numPr>
          <w:ilvl w:val="0"/>
          <w:numId w:val="2"/>
        </w:numPr>
        <w:spacing w:after="60" w:line="264"/>
      </w:pPr>
      <w:r>
        <w:rPr>
          <w:rFonts w:ascii="Arial" w:cs="Arial" w:eastAsia="Arial" w:hAnsi="Arial"/>
          <w:b/>
          <w:bCs/>
          <w:sz w:val="20"/>
          <w:szCs w:val="20"/>
        </w:rPr>
        <w:t xml:space="preserve">Manifest V3 compatible: </w:t>
      </w:r>
      <w:r>
        <w:rPr>
          <w:rFonts w:ascii="Arial" w:cs="Arial" w:eastAsia="Arial" w:hAnsi="Arial"/>
          <w:sz w:val="20"/>
          <w:szCs w:val="20"/>
        </w:rPr>
        <w:t xml:space="preserve">Uses Chrome’s latest extension standard, so it will be accepted in the Chrome Web Store.</w:t>
      </w:r>
    </w:p>
    <w:p>
      <w:pPr>
        <w:spacing w:after="100" w:line="264"/>
      </w:pPr>
      <w:r>
        <w:rPr>
          <w:rFonts w:ascii="Arial" w:cs="Arial" w:eastAsia="Arial" w:hAnsi="Arial"/>
          <w:sz w:val="20"/>
          <w:szCs w:val="20"/>
        </w:rPr>
        <w:t xml:space="preserve">The PoC is ready to test — install instructions are included. Next step is connecting it to the real bid engine backend.</w:t>
      </w:r>
    </w:p>
    <w:p>
      <w:pPr>
        <w:pStyle w:val="Heading1"/>
      </w:pPr>
      <w:r>
        <w:t xml:space="preserve">Product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740"/>
        <w:gridCol w:w="4940"/>
      </w:tblGrid>
      <w:tr>
        <w:tc>
          <w:tcPr>
            <w:tcW w:type="dxa" w:w="140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
            </w:r>
          </w:p>
        </w:tc>
        <w:tc>
          <w:tcPr>
            <w:tcW w:type="dxa" w:w="374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Chrome Extension</w:t>
            </w:r>
          </w:p>
        </w:tc>
        <w:tc>
          <w:tcPr>
            <w:tcW w:type="dxa" w:w="494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Web App (faabadvisor.com)</w:t>
            </w:r>
          </w:p>
        </w:tc>
      </w:tr>
      <w:tr>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Role</w:t>
            </w:r>
          </w:p>
        </w:tc>
        <w:tc>
          <w:tcPr>
            <w:tcW w:type="dxa" w:w="37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Point of action — where bids happen</w:t>
            </w:r>
          </w:p>
        </w:tc>
        <w:tc>
          <w:tcPr>
            <w:tcW w:type="dxa" w:w="49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Command center — analytics &amp; account</w:t>
            </w:r>
          </w:p>
        </w:tc>
      </w:tr>
      <w:tr>
        <w:tc>
          <w:tcPr>
            <w:tcW w:type="dxa" w:w="14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Core Feature</w:t>
            </w:r>
          </w:p>
        </w:tc>
        <w:tc>
          <w:tcPr>
            <w:tcW w:type="dxa" w:w="374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Injects FAAB bid recommendations directly onto NFC waiver wire pages</w:t>
            </w:r>
          </w:p>
        </w:tc>
        <w:tc>
          <w:tcPr>
            <w:tcW w:type="dxa" w:w="494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Track record / history, league analyzer, global bidding trends, subscription management</w:t>
            </w:r>
          </w:p>
        </w:tc>
      </w:tr>
      <w:tr>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User Experience</w:t>
            </w:r>
          </w:p>
        </w:tc>
        <w:tc>
          <w:tcPr>
            <w:tcW w:type="dxa" w:w="37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Zero friction. Appears automatically when browsing NFC. No tab switching.</w:t>
            </w:r>
          </w:p>
        </w:tc>
        <w:tc>
          <w:tcPr>
            <w:tcW w:type="dxa" w:w="49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Log in to review performance, see aggregate data, manage billing.</w:t>
            </w:r>
          </w:p>
        </w:tc>
      </w:tr>
      <w:tr>
        <w:tc>
          <w:tcPr>
            <w:tcW w:type="dxa" w:w="14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Revenue Role</w:t>
            </w:r>
          </w:p>
        </w:tc>
        <w:tc>
          <w:tcPr>
            <w:tcW w:type="dxa" w:w="374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Freemium hook — free users see blurred bids with “Unlock Pro” prompt</w:t>
            </w:r>
          </w:p>
        </w:tc>
        <w:tc>
          <w:tcPr>
            <w:tcW w:type="dxa" w:w="494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Upsell destination — where they pay and see the value of paying</w:t>
            </w:r>
          </w:p>
        </w:tc>
      </w:tr>
      <w:tr>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Data</w:t>
            </w:r>
          </w:p>
        </w:tc>
        <w:tc>
          <w:tcPr>
            <w:tcW w:type="dxa" w:w="37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Reads league data from NFC page in real-time</w:t>
            </w:r>
          </w:p>
        </w:tc>
        <w:tc>
          <w:tcPr>
            <w:tcW w:type="dxa" w:w="49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Stores historical bids, outcomes, user preferences</w:t>
            </w:r>
          </w:p>
        </w:tc>
      </w:tr>
    </w:tbl>
    <w:p>
      <w:pPr>
        <w:pStyle w:val="Heading1"/>
        <w:spacing w:before="240"/>
      </w:pPr>
      <w:r>
        <w:t xml:space="preserve">Recommended Pricing</w:t>
      </w:r>
    </w:p>
    <w:p>
      <w:pPr>
        <w:spacing w:after="100" w:line="264"/>
      </w:pPr>
      <w:r>
        <w:rPr>
          <w:rFonts w:ascii="Arial" w:cs="Arial" w:eastAsia="Arial" w:hAnsi="Arial"/>
          <w:sz w:val="20"/>
          <w:szCs w:val="20"/>
        </w:rPr>
        <w:t xml:space="preserve">Our users spend $300–$15,000 on league entry fees. Price must reflect quality and ROI, not commodity software. One extra league win pays for the tool many times 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580"/>
      </w:tblGrid>
      <w:tr>
        <w:tc>
          <w:tcPr>
            <w:tcW w:type="dxa" w:w="150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Tier</w:t>
            </w:r>
          </w:p>
        </w:tc>
        <w:tc>
          <w:tcPr>
            <w:tcW w:type="dxa" w:w="200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Price</w:t>
            </w:r>
          </w:p>
        </w:tc>
        <w:tc>
          <w:tcPr>
            <w:tcW w:type="dxa" w:w="658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What They Get</w:t>
            </w:r>
          </w:p>
        </w:tc>
      </w:tr>
      <w:tr>
        <w:tc>
          <w:tcPr>
            <w:tcW w:type="dxa" w:w="15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b/>
                <w:bCs/>
                <w:color w:val="16A34A"/>
                <w:sz w:val="20"/>
                <w:szCs w:val="20"/>
              </w:rPr>
              <w:t xml:space="preserve">Free</w:t>
            </w:r>
          </w:p>
        </w:tc>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$0</w:t>
            </w:r>
          </w:p>
        </w:tc>
        <w:tc>
          <w:tcPr>
            <w:tcW w:type="dxa" w:w="658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Extension works but shows Low/Med/High generic advice only. Top 5 trending players show blurred exact bids with “Unlock Pro.”</w:t>
            </w:r>
          </w:p>
        </w:tc>
      </w:tr>
      <w:tr>
        <w:tc>
          <w:tcPr>
            <w:tcW w:type="dxa" w:w="15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b/>
                <w:bCs/>
                <w:color w:val="2563EB"/>
                <w:sz w:val="20"/>
                <w:szCs w:val="20"/>
              </w:rPr>
              <w:t xml:space="preserve">Pro</w:t>
            </w:r>
          </w:p>
        </w:tc>
        <w:tc>
          <w:tcPr>
            <w:tcW w:type="dxa" w:w="20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$9.99/mo or $79/yr</w:t>
            </w:r>
          </w:p>
        </w:tc>
        <w:tc>
          <w:tcPr>
            <w:tcW w:type="dxa" w:w="658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Full bid recommendations (base + market-adjusted + aggressive) injected inline. Web app dashboard with bid history and league analysis.</w:t>
            </w:r>
          </w:p>
        </w:tc>
      </w:tr>
      <w:tr>
        <w:tc>
          <w:tcPr>
            <w:tcW w:type="dxa" w:w="15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b/>
                <w:bCs/>
                <w:color w:val="D97706"/>
                <w:sz w:val="20"/>
                <w:szCs w:val="20"/>
              </w:rPr>
              <w:t xml:space="preserve">High-Stakes</w:t>
            </w:r>
          </w:p>
        </w:tc>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$149/yr</w:t>
            </w:r>
          </w:p>
        </w:tc>
        <w:tc>
          <w:tcPr>
            <w:tcW w:type="dxa" w:w="658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Everything in Pro + aggregate bidding trend data across all FAAB Advisor users. See what % of the platform is bidding on each player before waivers run.</w:t>
            </w:r>
          </w:p>
        </w:tc>
      </w:tr>
    </w:tbl>
    <w:p>
      <w:pPr>
        <w:spacing w:before="80" w:after="100"/>
      </w:pPr>
      <w:r>
        <w:rPr>
          <w:rFonts w:ascii="Arial" w:cs="Arial" w:eastAsia="Arial" w:hAnsi="Arial"/>
          <w:sz w:val="20"/>
          <w:szCs w:val="20"/>
        </w:rPr>
        <w:t xml:space="preserve">Revenue scenario: 300 Pro users at $79/yr + 50 High-Stakes at $149/yr = </w:t>
      </w:r>
      <w:r>
        <w:rPr>
          <w:rFonts w:ascii="Arial" w:cs="Arial" w:eastAsia="Arial" w:hAnsi="Arial"/>
          <w:b/>
          <w:bCs/>
          <w:color w:val="2563EB"/>
          <w:sz w:val="20"/>
          <w:szCs w:val="20"/>
        </w:rPr>
        <w:t xml:space="preserve">$31,200 Year 1</w:t>
      </w:r>
      <w:r>
        <w:rPr>
          <w:rFonts w:ascii="Arial" w:cs="Arial" w:eastAsia="Arial" w:hAnsi="Arial"/>
          <w:sz w:val="20"/>
          <w:szCs w:val="20"/>
        </w:rPr>
        <w:t xml:space="preserve">. At 1,000 Pro + 150 High-Stakes = </w:t>
      </w:r>
      <w:r>
        <w:rPr>
          <w:rFonts w:ascii="Arial" w:cs="Arial" w:eastAsia="Arial" w:hAnsi="Arial"/>
          <w:b/>
          <w:bCs/>
          <w:color w:val="2563EB"/>
          <w:sz w:val="20"/>
          <w:szCs w:val="20"/>
        </w:rPr>
        <w:t xml:space="preserve">$101,350</w:t>
      </w:r>
      <w:r>
        <w:rPr>
          <w:rFonts w:ascii="Arial" w:cs="Arial" w:eastAsia="Arial" w:hAnsi="Arial"/>
          <w:sz w:val="20"/>
          <w:szCs w:val="20"/>
        </w:rPr>
        <w:t xml:space="preserve">. Near-zero marginal cost once built.</w:t>
      </w:r>
    </w:p>
    <w:p>
      <w:pPr>
        <w:pStyle w:val="Heading1"/>
      </w:pPr>
      <w:r>
        <w:t xml:space="preserve">Build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600"/>
        <w:gridCol w:w="3080"/>
      </w:tblGrid>
      <w:tr>
        <w:tc>
          <w:tcPr>
            <w:tcW w:type="dxa" w:w="120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Phase</w:t>
            </w:r>
          </w:p>
        </w:tc>
        <w:tc>
          <w:tcPr>
            <w:tcW w:type="dxa" w:w="420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What</w:t>
            </w:r>
          </w:p>
        </w:tc>
        <w:tc>
          <w:tcPr>
            <w:tcW w:type="dxa" w:w="160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Effort</w:t>
            </w:r>
          </w:p>
        </w:tc>
        <w:tc>
          <w:tcPr>
            <w:tcW w:type="dxa" w:w="308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Target</w:t>
            </w:r>
          </w:p>
        </w:tc>
      </w:tr>
      <w:tr>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b/>
                <w:bCs/>
                <w:color w:val="16A34A"/>
                <w:sz w:val="20"/>
                <w:szCs w:val="20"/>
              </w:rPr>
              <w:t xml:space="preserve">Done ✓</w:t>
            </w:r>
          </w:p>
        </w:tc>
        <w:tc>
          <w:tcPr>
            <w:tcW w:type="dxa" w:w="4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Chrome Extension PoC — floating widget, DOM scanning, NFC injection</w:t>
            </w:r>
          </w:p>
        </w:tc>
        <w:tc>
          <w:tcPr>
            <w:tcW w:type="dxa" w:w="16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Complete</w:t>
            </w:r>
          </w:p>
        </w:tc>
        <w:tc>
          <w:tcPr>
            <w:tcW w:type="dxa" w:w="308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Now</w:t>
            </w:r>
          </w:p>
        </w:tc>
      </w:tr>
      <w:tr>
        <w:tc>
          <w:tcPr>
            <w:tcW w:type="dxa" w:w="12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Phase 1</w:t>
            </w:r>
          </w:p>
        </w:tc>
        <w:tc>
          <w:tcPr>
            <w:tcW w:type="dxa" w:w="42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Connect extension to bid engine backend. Real recommendations from real page data.</w:t>
            </w:r>
          </w:p>
        </w:tc>
        <w:tc>
          <w:tcPr>
            <w:tcW w:type="dxa" w:w="16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15–20 hrs</w:t>
            </w:r>
          </w:p>
        </w:tc>
        <w:tc>
          <w:tcPr>
            <w:tcW w:type="dxa" w:w="308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Weeks 1–2</w:t>
            </w:r>
          </w:p>
        </w:tc>
      </w:tr>
      <w:tr>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Phase 2</w:t>
            </w:r>
          </w:p>
        </w:tc>
        <w:tc>
          <w:tcPr>
            <w:tcW w:type="dxa" w:w="4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Inline injection — bids appear next to player names in NFC tables (not just floating widget)</w:t>
            </w:r>
          </w:p>
        </w:tc>
        <w:tc>
          <w:tcPr>
            <w:tcW w:type="dxa" w:w="16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10–15 hrs</w:t>
            </w:r>
          </w:p>
        </w:tc>
        <w:tc>
          <w:tcPr>
            <w:tcW w:type="dxa" w:w="308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Weeks 3–4</w:t>
            </w:r>
          </w:p>
        </w:tc>
      </w:tr>
      <w:tr>
        <w:tc>
          <w:tcPr>
            <w:tcW w:type="dxa" w:w="12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Phase 3</w:t>
            </w:r>
          </w:p>
        </w:tc>
        <w:tc>
          <w:tcPr>
            <w:tcW w:type="dxa" w:w="42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Freemium gating — blur/lock logic, Stripe checkout, user authentication</w:t>
            </w:r>
          </w:p>
        </w:tc>
        <w:tc>
          <w:tcPr>
            <w:tcW w:type="dxa" w:w="16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12–18 hrs</w:t>
            </w:r>
          </w:p>
        </w:tc>
        <w:tc>
          <w:tcPr>
            <w:tcW w:type="dxa" w:w="308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Weeks 4–5</w:t>
            </w:r>
          </w:p>
        </w:tc>
      </w:tr>
      <w:tr>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Phase 4</w:t>
            </w:r>
          </w:p>
        </w:tc>
        <w:tc>
          <w:tcPr>
            <w:tcW w:type="dxa" w:w="4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Web app command center — dashboard, bid history, league analyzer</w:t>
            </w:r>
          </w:p>
        </w:tc>
        <w:tc>
          <w:tcPr>
            <w:tcW w:type="dxa" w:w="16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15–20 hrs</w:t>
            </w:r>
          </w:p>
        </w:tc>
        <w:tc>
          <w:tcPr>
            <w:tcW w:type="dxa" w:w="308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Weeks 5–7</w:t>
            </w:r>
          </w:p>
        </w:tc>
      </w:tr>
      <w:tr>
        <w:tc>
          <w:tcPr>
            <w:tcW w:type="dxa" w:w="12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Phase 5</w:t>
            </w:r>
          </w:p>
        </w:tc>
        <w:tc>
          <w:tcPr>
            <w:tcW w:type="dxa" w:w="42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Chrome Web Store submission, landing page, beta launch</w:t>
            </w:r>
          </w:p>
        </w:tc>
        <w:tc>
          <w:tcPr>
            <w:tcW w:type="dxa" w:w="16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8–12 hrs</w:t>
            </w:r>
          </w:p>
        </w:tc>
        <w:tc>
          <w:tcPr>
            <w:tcW w:type="dxa" w:w="308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Week 8</w:t>
            </w:r>
          </w:p>
        </w:tc>
      </w:tr>
    </w:tbl>
    <w:p>
      <w:pPr>
        <w:spacing w:before="80" w:after="80"/>
      </w:pPr>
      <w:r>
        <w:rPr>
          <w:rFonts w:ascii="Arial" w:cs="Arial" w:eastAsia="Arial" w:hAnsi="Arial"/>
          <w:b/>
          <w:bCs/>
          <w:sz w:val="20"/>
          <w:szCs w:val="20"/>
        </w:rPr>
        <w:t xml:space="preserve">Total: ~60–85 hours.</w:t>
      </w:r>
      <w:r>
        <w:rPr>
          <w:rFonts w:ascii="Arial" w:cs="Arial" w:eastAsia="Arial" w:hAnsi="Arial"/>
          <w:sz w:val="20"/>
          <w:szCs w:val="20"/>
        </w:rPr>
        <w:t xml:space="preserve"> Leaner than the original standalone web app plan because the extension eliminates the entire data input layer — we read it from the page instead of asking users to upload it.</w:t>
      </w:r>
    </w:p>
    <w:p>
      <w:pPr>
        <w:pStyle w:val="Heading1"/>
      </w:pPr>
      <w:r>
        <w:t xml:space="preserve">Ownership Split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440"/>
        <w:gridCol w:w="4440"/>
      </w:tblGrid>
      <w:tr>
        <w:tc>
          <w:tcPr>
            <w:tcW w:type="dxa" w:w="120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
            </w:r>
          </w:p>
        </w:tc>
        <w:tc>
          <w:tcPr>
            <w:tcW w:type="dxa" w:w="444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Technical Founder</w:t>
            </w:r>
          </w:p>
        </w:tc>
        <w:tc>
          <w:tcPr>
            <w:tcW w:type="dxa" w:w="4440"/>
            <w:tcBorders>
              <w:top w:val="single" w:color="CBD5E1" w:sz="1"/>
              <w:left w:val="single" w:color="CBD5E1" w:sz="1"/>
              <w:bottom w:val="single" w:color="CBD5E1" w:sz="1"/>
              <w:right w:val="single" w:color="CBD5E1" w:sz="1"/>
            </w:tcBorders>
            <w:shd w:fill="0F172A" w:val="clear"/>
            <w:tcMar>
              <w:top w:type="dxa" w:w="50"/>
              <w:left w:type="dxa" w:w="80"/>
              <w:bottom w:type="dxa" w:w="50"/>
              <w:right w:type="dxa" w:w="80"/>
            </w:tcMar>
          </w:tcPr>
          <w:p>
            <w:r>
              <w:rPr>
                <w:rFonts w:ascii="Arial" w:cs="Arial" w:eastAsia="Arial" w:hAnsi="Arial"/>
                <w:b/>
                <w:bCs/>
                <w:color w:val="FFFFFF"/>
                <w:sz w:val="18"/>
                <w:szCs w:val="18"/>
              </w:rPr>
              <w:t xml:space="preserve">GTM / Business Founder</w:t>
            </w:r>
          </w:p>
        </w:tc>
      </w:tr>
      <w:tr>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Phase 1–3</w:t>
            </w:r>
          </w:p>
        </w:tc>
        <w:tc>
          <w:tcPr>
            <w:tcW w:type="dxa" w:w="44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Build: extension → backend → inline injection → auth/payments</w:t>
            </w:r>
          </w:p>
        </w:tc>
        <w:tc>
          <w:tcPr>
            <w:tcW w:type="dxa" w:w="44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Validate pricing with 10–20 NFBC contacts. Collect “would you pay?” data.</w:t>
            </w:r>
          </w:p>
        </w:tc>
      </w:tr>
      <w:tr>
        <w:tc>
          <w:tcPr>
            <w:tcW w:type="dxa" w:w="120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Phase 4–5</w:t>
            </w:r>
          </w:p>
        </w:tc>
        <w:tc>
          <w:tcPr>
            <w:tcW w:type="dxa" w:w="444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Build: web dashboard, Chrome Web Store prep</w:t>
            </w:r>
          </w:p>
        </w:tc>
        <w:tc>
          <w:tcPr>
            <w:tcW w:type="dxa" w:w="4440"/>
            <w:tcBorders>
              <w:top w:val="single" w:color="CBD5E1" w:sz="1"/>
              <w:left w:val="single" w:color="CBD5E1" w:sz="1"/>
              <w:bottom w:val="single" w:color="CBD5E1" w:sz="1"/>
              <w:right w:val="single" w:color="CBD5E1" w:sz="1"/>
            </w:tcBorders>
            <w:shd w:fill="F1F5F9" w:val="clear"/>
            <w:tcMar>
              <w:top w:type="dxa" w:w="50"/>
              <w:left w:type="dxa" w:w="80"/>
              <w:bottom w:type="dxa" w:w="50"/>
              <w:right w:type="dxa" w:w="80"/>
            </w:tcMar>
          </w:tcPr>
          <w:p>
            <w:r>
              <w:rPr>
                <w:rFonts w:ascii="Arial" w:cs="Arial" w:eastAsia="Arial" w:hAnsi="Arial"/>
                <w:sz w:val="18"/>
                <w:szCs w:val="18"/>
              </w:rPr>
              <w:t xml:space="preserve">Line up 20–30 beta testers. Book 3–5 podcast appearances for launch window.</w:t>
            </w:r>
          </w:p>
        </w:tc>
      </w:tr>
      <w:tr>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Post-Launch</w:t>
            </w:r>
          </w:p>
        </w:tc>
        <w:tc>
          <w:tcPr>
            <w:tcW w:type="dxa" w:w="44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Monitor, fix bugs, tune bid engine based on real outcomes</w:t>
            </w:r>
          </w:p>
        </w:tc>
        <w:tc>
          <w:tcPr>
            <w:tcW w:type="dxa" w:w="44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tcPr>
          <w:p>
            <w:r>
              <w:rPr>
                <w:rFonts w:ascii="Arial" w:cs="Arial" w:eastAsia="Arial" w:hAnsi="Arial"/>
                <w:sz w:val="18"/>
                <w:szCs w:val="18"/>
              </w:rPr>
              <w:t xml:space="preserve">Drive adoption: forum posts, Twitter, podcast circuit, content marketing.</w:t>
            </w:r>
          </w:p>
        </w:tc>
      </w:tr>
    </w:tbl>
    <w:p>
      <w:pPr>
        <w:pStyle w:val="Heading1"/>
        <w:spacing w:before="240"/>
      </w:pPr>
      <w:r>
        <w:t xml:space="preserve">Immediate Next Steps</w:t>
      </w:r>
    </w:p>
    <w:p>
      <w:pPr>
        <w:pStyle w:val="ListParagraph"/>
        <w:numPr>
          <w:ilvl w:val="0"/>
          <w:numId w:val="3"/>
        </w:numPr>
        <w:spacing w:after="60" w:line="264"/>
      </w:pPr>
      <w:r>
        <w:rPr>
          <w:rFonts w:ascii="Arial" w:cs="Arial" w:eastAsia="Arial" w:hAnsi="Arial"/>
          <w:b/>
          <w:bCs/>
          <w:sz w:val="20"/>
          <w:szCs w:val="20"/>
        </w:rPr>
        <w:t xml:space="preserve">Test the PoC. </w:t>
      </w:r>
      <w:r>
        <w:rPr>
          <w:rFonts w:ascii="Arial" w:cs="Arial" w:eastAsia="Arial" w:hAnsi="Arial"/>
          <w:sz w:val="20"/>
          <w:szCs w:val="20"/>
        </w:rPr>
        <w:t xml:space="preserve">Install the Chrome extension on your machine using the included instructions. Visit your NFC league page and confirm the widget appears.</w:t>
      </w:r>
    </w:p>
    <w:p>
      <w:pPr>
        <w:pStyle w:val="ListParagraph"/>
        <w:numPr>
          <w:ilvl w:val="0"/>
          <w:numId w:val="3"/>
        </w:numPr>
        <w:spacing w:after="60" w:line="264"/>
      </w:pPr>
      <w:r>
        <w:rPr>
          <w:rFonts w:ascii="Arial" w:cs="Arial" w:eastAsia="Arial" w:hAnsi="Arial"/>
          <w:b/>
          <w:bCs/>
          <w:sz w:val="20"/>
          <w:szCs w:val="20"/>
        </w:rPr>
        <w:t xml:space="preserve">Validate pricing. </w:t>
      </w:r>
      <w:r>
        <w:rPr>
          <w:rFonts w:ascii="Arial" w:cs="Arial" w:eastAsia="Arial" w:hAnsi="Arial"/>
          <w:sz w:val="20"/>
          <w:szCs w:val="20"/>
        </w:rPr>
        <w:t xml:space="preserve">Share the concept with 10–20 serious NFC players. Ask: “Would you pay $79/year for a tool that tells you exactly what to bid on every free agent, accounting for who else in your league needs them?”</w:t>
      </w:r>
    </w:p>
    <w:p>
      <w:pPr>
        <w:pStyle w:val="ListParagraph"/>
        <w:numPr>
          <w:ilvl w:val="0"/>
          <w:numId w:val="3"/>
        </w:numPr>
        <w:spacing w:after="60" w:line="264"/>
      </w:pPr>
      <w:r>
        <w:rPr>
          <w:rFonts w:ascii="Arial" w:cs="Arial" w:eastAsia="Arial" w:hAnsi="Arial"/>
          <w:b/>
          <w:bCs/>
          <w:sz w:val="20"/>
          <w:szCs w:val="20"/>
        </w:rPr>
        <w:t xml:space="preserve">Green-light the build. </w:t>
      </w:r>
      <w:r>
        <w:rPr>
          <w:rFonts w:ascii="Arial" w:cs="Arial" w:eastAsia="Arial" w:hAnsi="Arial"/>
          <w:sz w:val="20"/>
          <w:szCs w:val="20"/>
        </w:rPr>
        <w:t xml:space="preserve">If validation is positive, technical build begins immediately. Target: working product with real bid recommendations in 4–5 weeks.</w:t>
      </w:r>
    </w:p>
    <w:sectPr>
      <w:headerReference w:type="default" r:id="rId6"/>
      <w:footerReference w:type="default" r:id="rId7"/>
      <w:pgSz w:w="12240" w:h="15840" w:orient="portrait"/>
      <w:pgMar w:top="108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4A3B8"/>
        <w:sz w:val="14"/>
        <w:szCs w:val="14"/>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spacing w:after="0"/>
    </w:pPr>
    <w:r>
      <w:rPr>
        <w:rFonts w:ascii="Arial" w:cs="Arial" w:eastAsia="Arial" w:hAnsi="Arial"/>
        <w:b/>
        <w:bCs/>
        <w:color w:val="2563EB"/>
        <w:sz w:val="18"/>
        <w:szCs w:val="18"/>
      </w:rPr>
      <w:t xml:space="preserve">FAAB</w:t>
    </w:r>
    <w:r>
      <w:rPr>
        <w:rFonts w:ascii="Arial" w:cs="Arial" w:eastAsia="Arial" w:hAnsi="Arial"/>
        <w:b/>
        <w:bCs/>
        <w:color w:val="D97706"/>
        <w:sz w:val="18"/>
        <w:szCs w:val="18"/>
      </w:rPr>
      <w:t xml:space="preserve">Advisor</w:t>
    </w:r>
    <w:r>
      <w:rPr>
        <w:rFonts w:ascii="Arial" w:cs="Arial" w:eastAsia="Arial" w:hAnsi="Arial"/>
        <w:color w:val="94A3B8"/>
        <w:sz w:val="14"/>
        <w:szCs w:val="14"/>
      </w:rPr>
      <w:t xml:space="preserve">  —  Updated Product Strategy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rFonts w:ascii="Arial" w:cs="Arial" w:eastAsia="Arial" w:hAnsi="Arial"/>
      <w:b/>
      <w:bCs/>
      <w:color w:val="0F172A"/>
      <w:sz w:val="28"/>
      <w:szCs w:val="28"/>
    </w:rPr>
  </w:style>
  <w:style w:type="paragraph" w:styleId="Heading2">
    <w:name w:val="Heading 2"/>
    <w:basedOn w:val="Normal"/>
    <w:next w:val="Normal"/>
    <w:qFormat/>
    <w:pPr>
      <w:spacing w:before="160" w:after="60"/>
      <w:outlineLvl w:val="1"/>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2026-03-16T20:38:58.934Z</dcterms:created>
  <dcterms:modified xsi:type="dcterms:W3CDTF">2026-03-16T20:38:58.936Z</dcterms:modified>
</cp:coreProperties>
</file>

<file path=docProps/custom.xml><?xml version="1.0" encoding="utf-8"?>
<Properties xmlns="http://schemas.openxmlformats.org/officeDocument/2006/custom-properties" xmlns:vt="http://schemas.openxmlformats.org/officeDocument/2006/docPropsVTypes"/>
</file>