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5052" w:rsidRDefault="009F0787">
      <w:pPr>
        <w:pStyle w:val="Heading2"/>
        <w:divId w:val="190587027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Here are the statistically significant facts I've discovered from my own analysis:</w:t>
      </w:r>
      <w:r w:rsidR="0027730E">
        <w:rPr>
          <w:rFonts w:eastAsia="Times New Roman" w:cs="Helvetica"/>
          <w:color w:val="000000"/>
        </w:rPr>
        <w:t xml:space="preserve"> </w:t>
      </w:r>
    </w:p>
    <w:p w:rsidR="00DA5052" w:rsidRDefault="009F0787">
      <w:pPr>
        <w:pStyle w:val="NormalWeb"/>
        <w:numPr>
          <w:ilvl w:val="0"/>
          <w:numId w:val="1"/>
        </w:numPr>
        <w:spacing w:line="300" w:lineRule="atLeast"/>
        <w:divId w:val="190587027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23% of the variability in the cumulative deaths of countries (but not states) can be explained by the average temperature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2871216"/>
            <wp:effectExtent l="0" t="0" r="0" b="5715"/>
            <wp:docPr id="1" name="Picture 1" descr="Average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rage Temperature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numPr>
          <w:ilvl w:val="0"/>
          <w:numId w:val="1"/>
        </w:numPr>
        <w:spacing w:line="300" w:lineRule="atLeast"/>
        <w:divId w:val="190587027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Half the variability in the initial death rush can be explained by lived density </w:t>
      </w:r>
      <w:bookmarkStart w:id="0" w:name="_GoBack"/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2907792"/>
            <wp:effectExtent l="0" t="0" r="0" b="6985"/>
            <wp:docPr id="2" name="Picture 2" descr="Rate of Sp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te of Spread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5052" w:rsidRDefault="009F0787">
      <w:pPr>
        <w:pStyle w:val="NormalWeb"/>
        <w:numPr>
          <w:ilvl w:val="0"/>
          <w:numId w:val="1"/>
        </w:numPr>
        <w:spacing w:line="300" w:lineRule="atLeast"/>
        <w:divId w:val="190587027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It's inconclusive whether the earliness of lockdown has any effect on the cumulative deaths (okay, not statistically significant :-/)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3035808"/>
            <wp:effectExtent l="0" t="0" r="0" b="0"/>
            <wp:docPr id="3" name="Picture 3" descr="Speed of Loc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ed of Lockdown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spacing w:line="300" w:lineRule="atLeast"/>
        <w:divId w:val="117908449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best </w:t>
      </w:r>
      <w:r w:rsidR="008E2165">
        <w:rPr>
          <w:rFonts w:ascii="Helvetica" w:hAnsi="Helvetica" w:cs="Helvetica"/>
          <w:color w:val="000000"/>
          <w:sz w:val="21"/>
          <w:szCs w:val="21"/>
        </w:rPr>
        <w:t>forecast</w:t>
      </w:r>
      <w:r>
        <w:rPr>
          <w:rFonts w:ascii="Helvetica" w:hAnsi="Helvetica" w:cs="Helvetica"/>
          <w:color w:val="000000"/>
          <w:sz w:val="21"/>
          <w:szCs w:val="21"/>
        </w:rPr>
        <w:t xml:space="preserve"> is the </w:t>
      </w:r>
      <w:r w:rsidR="008E2165">
        <w:rPr>
          <w:rFonts w:ascii="Helvetica" w:hAnsi="Helvetica" w:cs="Helvetica"/>
          <w:color w:val="000000"/>
          <w:sz w:val="21"/>
          <w:szCs w:val="21"/>
        </w:rPr>
        <w:t>real-time</w:t>
      </w:r>
      <w:r>
        <w:rPr>
          <w:rFonts w:ascii="Helvetica" w:hAnsi="Helvetica" w:cs="Helvetica"/>
          <w:color w:val="000000"/>
          <w:sz w:val="21"/>
          <w:szCs w:val="21"/>
        </w:rPr>
        <w:t xml:space="preserve"> R0 estimation, which uses a Bayesian approach with a Gaussian-noise (Poisson distribution) process model for the posteriors. The grey band is the highest density intervals.</w:t>
      </w:r>
    </w:p>
    <w:p w:rsidR="00DA5052" w:rsidRDefault="009F0787">
      <w:pPr>
        <w:pStyle w:val="NormalWeb"/>
        <w:spacing w:line="300" w:lineRule="atLeast"/>
        <w:divId w:val="81194600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2752344"/>
            <wp:effectExtent l="0" t="0" r="0" b="0"/>
            <wp:docPr id="4" name="Picture 4" descr="Most Recent $R_t$ among the New Englan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st Recent $R_t$ among the New England States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spacing w:line="300" w:lineRule="atLeast"/>
        <w:divId w:val="14878215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Notice there is a lot of wiggle for the </w:t>
      </w:r>
      <w:r w:rsidR="008E2165">
        <w:rPr>
          <w:rFonts w:ascii="Helvetica" w:hAnsi="Helvetica" w:cs="Helvetica"/>
          <w:color w:val="000000"/>
          <w:sz w:val="21"/>
          <w:szCs w:val="21"/>
        </w:rPr>
        <w:t>high-density</w:t>
      </w:r>
      <w:r>
        <w:rPr>
          <w:rFonts w:ascii="Helvetica" w:hAnsi="Helvetica" w:cs="Helvetica"/>
          <w:color w:val="000000"/>
          <w:sz w:val="21"/>
          <w:szCs w:val="21"/>
        </w:rPr>
        <w:t xml:space="preserve"> states and none for the low ones. I guess they </w:t>
      </w:r>
      <w:r w:rsidR="008E2165">
        <w:rPr>
          <w:rFonts w:ascii="Helvetica" w:hAnsi="Helvetica" w:cs="Helvetica"/>
          <w:color w:val="000000"/>
          <w:sz w:val="21"/>
          <w:szCs w:val="21"/>
        </w:rPr>
        <w:t>can</w:t>
      </w:r>
      <w:r>
        <w:rPr>
          <w:rFonts w:ascii="Helvetica" w:hAnsi="Helvetica" w:cs="Helvetica"/>
          <w:color w:val="000000"/>
          <w:sz w:val="21"/>
          <w:szCs w:val="21"/>
        </w:rPr>
        <w:t xml:space="preserve"> cozy up and then snub each other in turn? (I now suspect that it's just an artifact of slow-reporting 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data sources.) Here's the roundup of all the states sorted by their maximum likelihood: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1115568"/>
            <wp:effectExtent l="0" t="0" r="0" b="8890"/>
            <wp:docPr id="5" name="Picture 5" descr="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spacing w:line="300" w:lineRule="atLeast"/>
        <w:divId w:val="14878215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and sorted by the high 90% highest density interval: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1115568"/>
            <wp:effectExtent l="0" t="0" r="0" b="8890"/>
            <wp:docPr id="6" name="Picture 6" descr="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L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spacing w:line="300" w:lineRule="atLeast"/>
        <w:divId w:val="14878215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and sorted by the low 90% highest density interval: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486400" cy="1115568"/>
            <wp:effectExtent l="0" t="0" r="0" b="8890"/>
            <wp:docPr id="7" name="Picture 7" descr="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L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spacing w:line="300" w:lineRule="atLeast"/>
        <w:divId w:val="188135926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makes the bad list: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587862" cy="2756528"/>
            <wp:effectExtent l="0" t="0" r="0" b="6350"/>
            <wp:docPr id="8" name="Picture 8" descr="Ba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d list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62" cy="2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52" w:rsidRDefault="009F0787">
      <w:pPr>
        <w:pStyle w:val="NormalWeb"/>
        <w:spacing w:line="300" w:lineRule="atLeast"/>
        <w:divId w:val="188135926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and the good list: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56246" cy="2604093"/>
            <wp:effectExtent l="0" t="0" r="6350" b="6350"/>
            <wp:docPr id="9" name="Picture 9" descr="Goo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d list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46" cy="26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87" w:rsidRDefault="009F0787">
      <w:pPr>
        <w:pStyle w:val="NormalWeb"/>
        <w:spacing w:line="300" w:lineRule="atLeast"/>
        <w:divId w:val="188135926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change from week to week.</w:t>
      </w:r>
    </w:p>
    <w:sectPr w:rsidR="009F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5D70"/>
    <w:multiLevelType w:val="multilevel"/>
    <w:tmpl w:val="C45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0E"/>
    <w:rsid w:val="0027730E"/>
    <w:rsid w:val="00643795"/>
    <w:rsid w:val="008E2165"/>
    <w:rsid w:val="009D1B1D"/>
    <w:rsid w:val="009F0787"/>
    <w:rsid w:val="00DA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E785B-EC79-4709-8F82-71196C4E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1">
    <w:name w:val="Caption1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0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0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5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19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0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61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15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54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836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1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ocuments\Repositories\notebooks\covid19\saves\png\Most_Recent_Rt_among_the_New_England_States.png" TargetMode="External"/><Relationship Id="rId13" Type="http://schemas.openxmlformats.org/officeDocument/2006/relationships/image" Target="file:///D:\Documents\Repositories\notebooks\covid19\saves\png\likely_under_control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Documents\Repositories\notebooks\covid19\saves\png\speed_of_lockdown.png" TargetMode="External"/><Relationship Id="rId12" Type="http://schemas.openxmlformats.org/officeDocument/2006/relationships/image" Target="file:///D:\Documents\Repositories\notebooks\covid19\saves\png\likely_not_under_contro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Documents\Repositories\notebooks\covid19\saves\png\rate_of_spread_vs_lived_density.png" TargetMode="External"/><Relationship Id="rId11" Type="http://schemas.openxmlformats.org/officeDocument/2006/relationships/image" Target="file:///D:\Documents\Repositories\notebooks\covid19\saves\png\states_by_low.png" TargetMode="External"/><Relationship Id="rId5" Type="http://schemas.openxmlformats.org/officeDocument/2006/relationships/image" Target="file:///D:\Documents\Repositories\notebooks\covid19\saves\png\countries_by_average_temp.png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D:\Documents\Repositories\notebooks\covid19\saves\png\states_by_high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Documents\Repositories\notebooks\covid19\saves\png\states_by_ml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 Covid Stats Presentation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 Covid Stats Presentation</dc:title>
  <dc:subject/>
  <dc:creator>Babbitt, Dave [USA]</dc:creator>
  <cp:keywords/>
  <dc:description/>
  <cp:lastModifiedBy>Babbitt, Dave [USA]</cp:lastModifiedBy>
  <cp:revision>5</cp:revision>
  <dcterms:created xsi:type="dcterms:W3CDTF">2020-05-18T17:55:00Z</dcterms:created>
  <dcterms:modified xsi:type="dcterms:W3CDTF">2020-05-18T18:42:00Z</dcterms:modified>
</cp:coreProperties>
</file>