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NovaTech Solutions — Employee Handbook 2025</w:t>
      </w:r>
    </w:p>
    <w:p>
      <w:r>
        <w:rPr>
          <w:i/>
          <w:iCs/>
          <w:color w:val="666666"/>
          <w:sz w:val="18"/>
          <w:szCs w:val="18"/>
        </w:rPr>
        <w:t xml:space="preserve">Document Version: 3.2  |  Effective Date: January 1, 2025  |  HR Department</w:t>
      </w:r>
    </w:p>
    <w:p>
      <w:pPr>
        <w:spacing w:before="240"/>
      </w:pPr>
      <w:r>
        <w:rPr>
          <w:b/>
          <w:bCs/>
          <w:color w:val="1E3A5F"/>
          <w:sz w:val="28"/>
          <w:szCs w:val="28"/>
        </w:rPr>
        <w:t xml:space="preserve">1. Company Overview</w:t>
      </w:r>
    </w:p>
    <w:p>
      <w:r>
        <w:t xml:space="preserve">NovaTech Solutions is a fast-growing AI SaaS and Cloud Infrastructure company founded in 2018, headquartered in San Francisco, CA with satellite offices in Austin, TX and London, UK. We build enterprise-grade AI products for Fortune 500 clients across industries including healthcare, finance, and logistics.</w:t>
      </w:r>
    </w:p>
    <w:p>
      <w:pPr>
        <w:pStyle w:val="Heading2"/>
        <w:spacing w:before="200"/>
      </w:pPr>
      <w:r>
        <w:t xml:space="preserve">1.1 Our Mission</w:t>
      </w:r>
    </w:p>
    <w:p>
      <w:r>
        <w:t xml:space="preserve">To democratize enterprise AI by making powerful, scalable, and explainable AI infrastructure accessible to every organization, regardless of size.</w:t>
      </w:r>
    </w:p>
    <w:p>
      <w:pPr>
        <w:pStyle w:val="Heading2"/>
        <w:spacing w:before="200"/>
      </w:pPr>
      <w:r>
        <w:t xml:space="preserve">2. Leave &amp; Time-Off Policy</w:t>
      </w:r>
    </w:p>
    <w:p>
      <w:r>
        <w:t xml:space="preserve">NovaTech provides a competitive leave package designed to support employee wellbeing and work-life balance. All leave entitlements are per calendar year (January 1 – December 31).</w:t>
      </w:r>
    </w:p>
    <w:p>
      <w:pPr>
        <w:pStyle w:val="Heading3"/>
      </w:pPr>
      <w:r>
        <w:t xml:space="preserve">2.1 Annual Leave</w:t>
      </w:r>
    </w:p>
    <w:p>
      <w:pPr>
        <w:pStyle w:val="ListParagraph"/>
        <w:numPr>
          <w:ilvl w:val="0"/>
          <w:numId w:val="2"/>
        </w:numPr>
      </w:pPr>
      <w:r>
        <w:t xml:space="preserve">Full-time employees: 18 days per year</w:t>
      </w:r>
    </w:p>
    <w:p>
      <w:pPr>
        <w:pStyle w:val="ListParagraph"/>
        <w:numPr>
          <w:ilvl w:val="0"/>
          <w:numId w:val="2"/>
        </w:numPr>
      </w:pPr>
      <w:r>
        <w:t xml:space="preserve">Part-time employees: prorated based on FTE</w:t>
      </w:r>
    </w:p>
    <w:p>
      <w:pPr>
        <w:pStyle w:val="ListParagraph"/>
        <w:numPr>
          <w:ilvl w:val="0"/>
          <w:numId w:val="2"/>
        </w:numPr>
      </w:pPr>
      <w:r>
        <w:t xml:space="preserve">Employees with 5+ years of service: 22 days per year</w:t>
      </w:r>
    </w:p>
    <w:p>
      <w:pPr>
        <w:pStyle w:val="ListParagraph"/>
        <w:numPr>
          <w:ilvl w:val="0"/>
          <w:numId w:val="2"/>
        </w:numPr>
      </w:pPr>
      <w:r>
        <w:t xml:space="preserve">Unused leave may be carried forward: maximum 5 days</w:t>
      </w:r>
    </w:p>
    <w:p>
      <w:pPr>
        <w:pStyle w:val="ListParagraph"/>
        <w:numPr>
          <w:ilvl w:val="0"/>
          <w:numId w:val="2"/>
        </w:numPr>
      </w:pPr>
      <w:r>
        <w:t xml:space="preserve">Leave requests must be submitted via HR portal at least 5 business days in advance</w:t>
      </w:r>
    </w:p>
    <w:p>
      <w:pPr>
        <w:pStyle w:val="Heading3"/>
      </w:pPr>
      <w:r>
        <w:t xml:space="preserve">2.2 Sick Leave</w:t>
      </w:r>
    </w:p>
    <w:p>
      <w:pPr>
        <w:pStyle w:val="ListParagraph"/>
        <w:numPr>
          <w:ilvl w:val="0"/>
          <w:numId w:val="2"/>
        </w:numPr>
      </w:pPr>
      <w:r>
        <w:t xml:space="preserve">10 days per year (non-cumulative)</w:t>
      </w:r>
    </w:p>
    <w:p>
      <w:pPr>
        <w:pStyle w:val="ListParagraph"/>
        <w:numPr>
          <w:ilvl w:val="0"/>
          <w:numId w:val="2"/>
        </w:numPr>
      </w:pPr>
      <w:r>
        <w:t xml:space="preserve">Medical certificate required for absences exceeding 3 consecutive days</w:t>
      </w:r>
    </w:p>
    <w:p>
      <w:pPr>
        <w:pStyle w:val="ListParagraph"/>
        <w:numPr>
          <w:ilvl w:val="0"/>
          <w:numId w:val="2"/>
        </w:numPr>
      </w:pPr>
      <w:r>
        <w:t xml:space="preserve">Sick leave may not be used for annual leave purposes</w:t>
      </w:r>
    </w:p>
    <w:p>
      <w:pPr>
        <w:pStyle w:val="Heading3"/>
      </w:pPr>
      <w:r>
        <w:t xml:space="preserve">2.3 Parental Leave</w:t>
      </w:r>
    </w:p>
    <w:p>
      <w:pPr>
        <w:pStyle w:val="ListParagraph"/>
        <w:numPr>
          <w:ilvl w:val="0"/>
          <w:numId w:val="2"/>
        </w:numPr>
      </w:pPr>
      <w:r>
        <w:t xml:space="preserve">Primary caregiver (birth): 16 weeks paid maternity/paternity leave</w:t>
      </w:r>
    </w:p>
    <w:p>
      <w:pPr>
        <w:pStyle w:val="ListParagraph"/>
        <w:numPr>
          <w:ilvl w:val="0"/>
          <w:numId w:val="2"/>
        </w:numPr>
      </w:pPr>
      <w:r>
        <w:t xml:space="preserve">Secondary caregiver: 4 weeks paid paternity leave</w:t>
      </w:r>
    </w:p>
    <w:p>
      <w:pPr>
        <w:pStyle w:val="ListParagraph"/>
        <w:numPr>
          <w:ilvl w:val="0"/>
          <w:numId w:val="2"/>
        </w:numPr>
      </w:pPr>
      <w:r>
        <w:t xml:space="preserve">Adoption: equivalent to birth leave entitlements</w:t>
      </w:r>
    </w:p>
    <w:p>
      <w:pPr>
        <w:pStyle w:val="ListParagraph"/>
        <w:numPr>
          <w:ilvl w:val="0"/>
          <w:numId w:val="2"/>
        </w:numPr>
      </w:pPr>
      <w:r>
        <w:t xml:space="preserve">Must notify HR at least 8 weeks prior to expected leave start</w:t>
      </w:r>
    </w:p>
    <w:p>
      <w:pPr>
        <w:pStyle w:val="Heading3"/>
      </w:pPr>
      <w:r>
        <w:t xml:space="preserve">2.4 Public Holidays</w:t>
      </w:r>
    </w:p>
    <w:p>
      <w:r>
        <w:t xml:space="preserve">Employees observe all US federal holidays plus: Company Founders Day (October 15), and two (2) floating holidays per year chosen by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Leave Type</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Days Entitlement</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Leave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 days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days for 5+ yr tenure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Sick Leave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days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Non-cumulative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Maternity Leave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weeks paid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caregiver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Paternity Leave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weeks paid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Secondary caregiver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Floating Holidays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days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Employee choice</w:t>
            </w:r>
          </w:p>
        </w:tc>
      </w:tr>
    </w:tbl>
    <w:p>
      <w:pPr>
        <w:pStyle w:val="Heading2"/>
        <w:spacing w:before="240"/>
      </w:pPr>
      <w:r>
        <w:t xml:space="preserve">3. Code of Conduct</w:t>
      </w:r>
    </w:p>
    <w:p>
      <w:r>
        <w:t xml:space="preserve">All NovaTech employees are expected to uphold the highest standards of professional conduct. This includes maintaining confidentiality of client data, respecting colleagues, and representing the company with integrity in all public and private interactions.</w:t>
      </w:r>
    </w:p>
    <w:p>
      <w:pPr>
        <w:pStyle w:val="ListParagraph"/>
        <w:numPr>
          <w:ilvl w:val="0"/>
          <w:numId w:val="3"/>
        </w:numPr>
      </w:pPr>
      <w:r>
        <w:t xml:space="preserve">Treat all colleagues with dignity and respect regardless of role, background, or identity.</w:t>
      </w:r>
    </w:p>
    <w:p>
      <w:pPr>
        <w:pStyle w:val="ListParagraph"/>
        <w:numPr>
          <w:ilvl w:val="0"/>
          <w:numId w:val="3"/>
        </w:numPr>
      </w:pPr>
      <w:r>
        <w:t xml:space="preserve">Never disclose confidential company or client information to unauthorized parties.</w:t>
      </w:r>
    </w:p>
    <w:p>
      <w:pPr>
        <w:pStyle w:val="ListParagraph"/>
        <w:numPr>
          <w:ilvl w:val="0"/>
          <w:numId w:val="3"/>
        </w:numPr>
      </w:pPr>
      <w:r>
        <w:t xml:space="preserve">Report conflicts of interest immediately to your manager or HR.</w:t>
      </w:r>
    </w:p>
    <w:p>
      <w:pPr>
        <w:pStyle w:val="ListParagraph"/>
        <w:numPr>
          <w:ilvl w:val="0"/>
          <w:numId w:val="3"/>
        </w:numPr>
      </w:pPr>
      <w:r>
        <w:t xml:space="preserve">Violations of this code may result in disciplinary action up to and including termination.</w:t>
      </w:r>
    </w:p>
    <w:p>
      <w:pPr>
        <w:pStyle w:val="Heading2"/>
        <w:spacing w:before="240"/>
      </w:pPr>
      <w:r>
        <w:t xml:space="preserve">4. Benefits &amp; Compensation</w:t>
      </w:r>
    </w:p>
    <w:p>
      <w:pPr>
        <w:pStyle w:val="Heading3"/>
      </w:pPr>
      <w:r>
        <w:t xml:space="preserve">4.1 Health Insurance</w:t>
      </w:r>
    </w:p>
    <w:p>
      <w:r>
        <w:t xml:space="preserve">NovaTech covers 90% of medical, dental, and vision premiums for employees and 70% for dependents. Coverage begins on Day 1 of employment.</w:t>
      </w:r>
    </w:p>
    <w:p>
      <w:pPr>
        <w:pStyle w:val="Heading3"/>
      </w:pPr>
      <w:r>
        <w:t xml:space="preserve">4.2 401(k) Retirement Plan</w:t>
      </w:r>
    </w:p>
    <w:p>
      <w:r>
        <w:t xml:space="preserve">The company matches 100% of employee contributions up to 4% of salary. Vesting is immediate for employee contributions; company match vests over 3 years (33% per year).</w:t>
      </w:r>
    </w:p>
    <w:p>
      <w:pPr>
        <w:pStyle w:val="Heading3"/>
      </w:pPr>
      <w:r>
        <w:t xml:space="preserve">4.3 Equity</w:t>
      </w:r>
    </w:p>
    <w:p>
      <w:r>
        <w:t xml:space="preserve">All full-time employees receive stock options as part of their compensation package. Vesting schedule: 4 years with a 1-year cliff. Details are specified in individual offer letters.</w:t>
      </w:r>
    </w:p>
    <w:p>
      <w:pPr>
        <w:pStyle w:val="Heading2"/>
        <w:spacing w:before="240"/>
      </w:pPr>
      <w:r>
        <w:t xml:space="preserve">5. Performance Reviews</w:t>
      </w:r>
    </w:p>
    <w:p>
      <w:r>
        <w:t xml:space="preserve">Performance is reviewed bi-annually: mid-year review in June and annual review in December. Ratings: Exceptional (5), Exceeds Expectations (4), Meets Expectations (3), Needs Improvement (2), Unsatisfactory (1). Employees rated 2 or below for two consecutive cycles may be placed on a Performance Improvement Plan (PIP).</w:t>
      </w:r>
    </w:p>
    <w:p>
      <w:pPr>
        <w:pStyle w:val="Heading2"/>
        <w:spacing w:before="240"/>
      </w:pPr>
      <w:r>
        <w:t xml:space="preserve">6. Remote Work Policy (Updated 2025)</w:t>
      </w:r>
    </w:p>
    <w:p>
      <w:r>
        <w:t xml:space="preserve">Effective January 2025, NovaTech operates on a hybrid model: minimum 2 days per week in-office (Tuesday and Thursday preferred). Fully remote employees in approved roles must attend quarterly company All-Hands in person. Home office stipend: 50/year for approved equipment.</w:t>
      </w:r>
    </w:p>
    <w:p>
      <w:pPr>
        <w:pStyle w:val="Heading2"/>
        <w:spacing w:before="240"/>
      </w:pPr>
      <w:r>
        <w:t xml:space="preserve">7. HR Contact</w:t>
      </w:r>
    </w:p>
    <w:p>
      <w:r>
        <w:t xml:space="preserve">Primary Contact: Sarah Chen, VP of People &amp; Culture | sarah.chen@novatech.io</w:t>
      </w:r>
    </w:p>
    <w:p>
      <w:r>
        <w:t xml:space="preserve">HR Help Desk: hr@novatech.io | Ext. 1001</w:t>
      </w:r>
    </w:p>
    <w:p>
      <w:r>
        <w:t xml:space="preserve">Emergency HR Line: +1-415-555-0101 (24/7)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E3A5F"/>
      <w:sz w:val="32"/>
      <w:szCs w:val="32"/>
    </w:rPr>
  </w:style>
  <w:style w:type="paragraph" w:styleId="Heading2">
    <w:name w:val="Heading 2"/>
    <w:basedOn w:val="Normal"/>
    <w:next w:val="Normal"/>
    <w:qFormat/>
    <w:pPr>
      <w:spacing w:after="80" w:before="180"/>
      <w:outlineLvl w:val="1"/>
    </w:pPr>
    <w:rPr>
      <w:b/>
      <w:bCs/>
      <w:color w:val="2E75B6"/>
      <w:sz w:val="26"/>
      <w:szCs w:val="26"/>
    </w:rPr>
  </w:style>
  <w:style w:type="paragraph" w:styleId="Heading3">
    <w:name w:val="Heading 3"/>
    <w:basedOn w:val="Normal"/>
    <w:next w:val="Normal"/>
    <w:qFormat/>
    <w:pPr>
      <w:spacing w:after="60" w:before="12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2026-05-27T18:31:19.763Z</dcterms:created>
  <dcterms:modified xsi:type="dcterms:W3CDTF">2026-05-27T18:31:19.763Z</dcterms:modified>
</cp:coreProperties>
</file>

<file path=docProps/custom.xml><?xml version="1.0" encoding="utf-8"?>
<Properties xmlns="http://schemas.openxmlformats.org/officeDocument/2006/custom-properties" xmlns:vt="http://schemas.openxmlformats.org/officeDocument/2006/docPropsVTypes"/>
</file>