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INCIDENT REPORT — INC-2025-0187</w:t>
      </w:r>
    </w:p>
    <w:p>
      <w:r>
        <w:rPr>
          <w:b/>
          <w:bCs/>
          <w:color w:val="CC0000"/>
          <w:sz w:val="20"/>
          <w:szCs w:val="20"/>
        </w:rPr>
        <w:t xml:space="preserve">Classification: SEVERITY 1 — Production Outage  |  Status: RESOLVED  |  Date: 2025-04-14</w:t>
      </w:r>
    </w:p>
    <w:p>
      <w:r>
        <w:rPr>
          <w:i/>
          <w:iCs/>
          <w:color w:val="666666"/>
          <w:sz w:val="18"/>
          <w:szCs w:val="18"/>
        </w:rPr>
        <w:t xml:space="preserve">Prepared by: Marcus Webb (DevOps Lead) &amp; John Kim (API Owner)  |  Review: April 18, 2025</w:t>
      </w:r>
    </w:p>
    <w:p>
      <w:pPr>
        <w:pStyle w:val="Heading2"/>
        <w:spacing w:before="200"/>
      </w:pPr>
      <w:r>
        <w:t xml:space="preserve">Executive Summary</w:t>
      </w:r>
    </w:p>
    <w:p>
      <w:r>
        <w:t xml:space="preserve">On April 14, 2025, NovaTech experienced a Severity 1 production outage affecting the Atlas Platform API (v4.1.0). The outage lasted 2 hours 34 minutes (14:22 UTC to 16:56 UTC), impacting approximately 1,240 active users and causing an estimated 7,000 in lost processing revenue. Root cause was a misconfigured autoscaler that drained inference cluster capacity during a traffic spike triggered by the HealthFirst contract onboarding.</w:t>
      </w:r>
    </w:p>
    <w:p>
      <w:pPr>
        <w:pStyle w:val="Heading2"/>
        <w:spacing w:before="18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Time (UTC)</w:t>
            </w:r>
          </w:p>
        </w:tc>
        <w:tc>
          <w:tcPr>
            <w:tcW w:type="dxa" w:w="702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14:18</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HealthFirst onboarding triggers 3x normal API traffic spike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Autoscaler mis-fires: scales DOWN inference nodes due to config error in cost-optimization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14:29</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PagerDuty alert fires: API p99 latency &gt;5000ms, error rate &gt;15%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14:35</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On-call engineer (J. Kim) acknowledges — begins investigation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14:52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cause identified: autoscaler cooldown period misconfigured (3600s instead of 300s)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scaling initiated — cluster begins recovery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services healthy — incident 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17:30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Post-incident review scheduled for April 18, 2025</w:t>
            </w:r>
          </w:p>
        </w:tc>
      </w:tr>
    </w:tbl>
    <w:p>
      <w:pPr>
        <w:pStyle w:val="Heading2"/>
        <w:spacing w:before="180"/>
      </w:pPr>
      <w:r>
        <w:t xml:space="preserve">Root Cause Analysis</w:t>
      </w:r>
    </w:p>
    <w:p>
      <w:r>
        <w:t xml:space="preserve">The autoscaler cost-optimization policy introduced in the v3.9 infrastructure update (March 2025) included an incorrect cooldown period of 3600 seconds (1 hour) instead of the intended 300 seconds (5 minutes). This policy was activated automatically when CPU utilization dropped below 40% — which occurred briefly during the traffic spike as requests queued rather than were processed. The autoscaler interpreted the queue buildup as low utilization and scaled down aggressively.</w:t>
      </w:r>
    </w:p>
    <w:p>
      <w:pPr>
        <w:pStyle w:val="Heading3"/>
      </w:pPr>
      <w:r>
        <w:t xml:space="preserve">Contributing Factors</w:t>
      </w:r>
    </w:p>
    <w:p>
      <w:pPr>
        <w:pStyle w:val="ListParagraph"/>
        <w:numPr>
          <w:ilvl w:val="0"/>
          <w:numId w:val="2"/>
        </w:numPr>
      </w:pPr>
      <w:r>
        <w:t xml:space="preserve">No load test was run for the HealthFirst onboarding traffic pattern</w:t>
      </w:r>
    </w:p>
    <w:p>
      <w:pPr>
        <w:pStyle w:val="ListParagraph"/>
        <w:numPr>
          <w:ilvl w:val="0"/>
          <w:numId w:val="2"/>
        </w:numPr>
      </w:pPr>
      <w:r>
        <w:t xml:space="preserve">Autoscaler policy change was merged without peer review (process gap)</w:t>
      </w:r>
    </w:p>
    <w:p>
      <w:pPr>
        <w:pStyle w:val="ListParagraph"/>
        <w:numPr>
          <w:ilvl w:val="0"/>
          <w:numId w:val="2"/>
        </w:numPr>
      </w:pPr>
      <w:r>
        <w:t xml:space="preserve">Alert threshold for inference cluster size was not configured</w:t>
      </w:r>
    </w:p>
    <w:p>
      <w:pPr>
        <w:pStyle w:val="Heading2"/>
        <w:spacing w:before="180"/>
      </w:pPr>
      <w:r>
        <w:t xml:space="preserve">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24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Outage 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hours 34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Affected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~1,240 active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 API Requests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87,450 requests (INFERENCE_UNAVAILABLE)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~7,000 (processing fees)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SLA Breach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99.9% monthly SLA violated for 3 enterprise clients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HealthFirst, BrightLogic Analytics, Momentum Finance</w:t>
            </w:r>
          </w:p>
        </w:tc>
      </w:tr>
    </w:tbl>
    <w:p>
      <w:pPr>
        <w:pStyle w:val="Heading2"/>
        <w:spacing w:before="180"/>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8D5D5" w:val="clear"/>
            <w:tcMar>
              <w:top w:type="dxa" w:w="80"/>
              <w:left w:type="dxa" w:w="120"/>
              <w:bottom w:type="dxa" w:w="80"/>
              <w:right w:type="dxa" w:w="120"/>
            </w:tcMar>
          </w:tcPr>
          <w:p>
            <w:r>
              <w:rPr>
                <w:rFonts w:ascii="Arial" w:cs="Arial" w:eastAsia="Arial" w:hAnsi="Arial"/>
                <w:b/>
                <w:bCs/>
                <w:sz w:val="20"/>
                <w:szCs w:val="20"/>
              </w:rPr>
              <w:t xml:space="preserve">Due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autoscaler cooldown to 300s and add validation CI 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Marcus Webb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peer review requirement for infra config 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 Engineering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25,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cluster-size alert (min nodes &lt;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DevOps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load test for all Tier-1 client onboardings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Kim + QA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SLA credit notices to 3 affected enterprise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Mgmt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19, 2025</w:t>
            </w:r>
          </w:p>
        </w:tc>
      </w:tr>
    </w:tbl>
    <w:p>
      <w:pPr>
        <w:pStyle w:val="Heading2"/>
        <w:spacing w:before="180"/>
      </w:pPr>
      <w:r>
        <w:t xml:space="preserve">Lessons Learned</w:t>
      </w:r>
    </w:p>
    <w:p>
      <w:r>
        <w:t xml:space="preserve">This incident highlighted the need for rigorous change management around infrastructure configuration. All autoscaler and cost-optimization policy changes must now go through a two-engineer review process and include a 24-hour staging validation window before production rollout. The DevOps runbook has been updated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8B0000"/>
      <w:sz w:val="32"/>
      <w:szCs w:val="32"/>
    </w:rPr>
  </w:style>
  <w:style w:type="paragraph" w:styleId="Heading2">
    <w:name w:val="Heading 2"/>
    <w:basedOn w:val="Normal"/>
    <w:next w:val="Normal"/>
    <w:qFormat/>
    <w:pPr>
      <w:spacing w:after="80" w:before="180"/>
      <w:outlineLvl w:val="1"/>
    </w:pPr>
    <w:rPr>
      <w:b/>
      <w:bCs/>
      <w:color w:val="CC2200"/>
      <w:sz w:val="26"/>
      <w:szCs w:val="26"/>
    </w:rPr>
  </w:style>
  <w:style w:type="paragraph" w:styleId="Heading3">
    <w:name w:val="Heading 3"/>
    <w:basedOn w:val="Normal"/>
    <w:next w:val="Normal"/>
    <w:qFormat/>
    <w:pPr>
      <w:spacing w:after="60" w:before="12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2026-05-27T18:33:36.752Z</dcterms:created>
  <dcterms:modified xsi:type="dcterms:W3CDTF">2026-05-27T18:33:36.753Z</dcterms:modified>
</cp:coreProperties>
</file>

<file path=docProps/custom.xml><?xml version="1.0" encoding="utf-8"?>
<Properties xmlns="http://schemas.openxmlformats.org/officeDocument/2006/custom-properties" xmlns:vt="http://schemas.openxmlformats.org/officeDocument/2006/docPropsVTypes"/>
</file>