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NovaTech Information Security Policy</w:t>
      </w:r>
    </w:p>
    <w:p>
      <w:r>
        <w:rPr>
          <w:i/>
          <w:iCs/>
          <w:color w:val="666666"/>
          <w:sz w:val="18"/>
          <w:szCs w:val="18"/>
        </w:rPr>
        <w:t xml:space="preserve">Document ID: SEC-POL-001  |  Version: 2.3  |  Owner: Security Team  |  Effective: January 1, 2025</w:t>
      </w:r>
    </w:p>
    <w:p>
      <w:r>
        <w:rPr>
          <w:b/>
          <w:bCs/>
          <w:color w:val="8B0000"/>
          <w:sz w:val="18"/>
          <w:szCs w:val="18"/>
        </w:rPr>
        <w:t xml:space="preserve">CLASSIFICATION: INTERNAL CONFIDENTIAL — Do Not Distribute Externally</w:t>
      </w:r>
    </w:p>
    <w:p>
      <w:pPr>
        <w:pStyle w:val="Heading2"/>
        <w:spacing w:before="200"/>
      </w:pPr>
      <w:r>
        <w:t xml:space="preserve">1. Purpose &amp; Scope</w:t>
      </w:r>
    </w:p>
    <w:p>
      <w:r>
        <w:t xml:space="preserve">This policy establishes information security requirements for all NovaTech employees, contractors, and third-party vendors with access to NovaTech systems, data, or infrastructure. Non-compliance may result in disciplinary action up to and including termination and legal action.</w:t>
      </w:r>
    </w:p>
    <w:p>
      <w:pPr>
        <w:pStyle w:val="Heading2"/>
        <w:spacing w:before="180"/>
      </w:pPr>
      <w:r>
        <w:t xml:space="preserve">2. Access Control</w:t>
      </w:r>
    </w:p>
    <w:p>
      <w:pPr>
        <w:pStyle w:val="Heading3"/>
      </w:pPr>
      <w:r>
        <w:t xml:space="preserve">2.1 Principle of Least Privilege</w:t>
      </w:r>
    </w:p>
    <w:p>
      <w:r>
        <w:t xml:space="preserve">All system access must follow the principle of least privilege. Employees receive only the minimum permissions required for their role. Access is reviewed quarterly by team leads and the Security team.</w:t>
      </w:r>
    </w:p>
    <w:p>
      <w:pPr>
        <w:pStyle w:val="Heading3"/>
      </w:pPr>
      <w:r>
        <w:t xml:space="preserve">2.2 Authentication Requirements</w:t>
      </w:r>
    </w:p>
    <w:p>
      <w:pPr>
        <w:pStyle w:val="ListParagraph"/>
        <w:numPr>
          <w:ilvl w:val="0"/>
          <w:numId w:val="2"/>
        </w:numPr>
      </w:pPr>
      <w:r>
        <w:t xml:space="preserve">Multi-Factor Authentication (MFA) is MANDATORY for all internal systems, VPN, and cloud consoles</w:t>
      </w:r>
    </w:p>
    <w:p>
      <w:pPr>
        <w:pStyle w:val="ListParagraph"/>
        <w:numPr>
          <w:ilvl w:val="0"/>
          <w:numId w:val="2"/>
        </w:numPr>
      </w:pPr>
      <w:r>
        <w:t xml:space="preserve">Passwords must be minimum 14 characters with complexity requirements</w:t>
      </w:r>
    </w:p>
    <w:p>
      <w:pPr>
        <w:pStyle w:val="ListParagraph"/>
        <w:numPr>
          <w:ilvl w:val="0"/>
          <w:numId w:val="2"/>
        </w:numPr>
      </w:pPr>
      <w:r>
        <w:t xml:space="preserve">Password reuse prohibited for last 12 passwords</w:t>
      </w:r>
    </w:p>
    <w:p>
      <w:pPr>
        <w:pStyle w:val="ListParagraph"/>
        <w:numPr>
          <w:ilvl w:val="0"/>
          <w:numId w:val="2"/>
        </w:numPr>
      </w:pPr>
      <w:r>
        <w:t xml:space="preserve">Service account API keys must be rotated every 90 days</w:t>
      </w:r>
    </w:p>
    <w:p>
      <w:pPr>
        <w:pStyle w:val="ListParagraph"/>
        <w:numPr>
          <w:ilvl w:val="0"/>
          <w:numId w:val="2"/>
        </w:numPr>
      </w:pPr>
      <w:r>
        <w:t xml:space="preserve">SSH keys for production servers must use ED25519 or RSA-4096 minimum</w:t>
      </w:r>
    </w:p>
    <w:p>
      <w:pPr>
        <w:pStyle w:val="Heading3"/>
      </w:pPr>
      <w:r>
        <w:t xml:space="preserve">2.3 VPN Policy</w:t>
      </w:r>
    </w:p>
    <w:p>
      <w:r>
        <w:t xml:space="preserve">All remote access to internal NovaTech systems MUST be through the approved corporate VPN (WireGuard-based). Direct access to production infrastructure without VPN is prohibited and will trigger a security alert. VPN is managed by Marcus Webb (DevOps). See IT/vpn_setup_guide.pdf for configuration steps.</w:t>
      </w:r>
    </w:p>
    <w:p>
      <w:pPr>
        <w:pStyle w:val="Heading2"/>
        <w:spacing w:before="180"/>
      </w:pPr>
      <w:r>
        <w:t xml:space="preserve">3.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51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Examples</w:t>
            </w:r>
          </w:p>
        </w:tc>
        <w:tc>
          <w:tcPr>
            <w:tcW w:type="dxa" w:w="351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Handling Requirements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Marketing materials, job postings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Team processes, general docs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Employees only, no external sharing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 code, HR records, financials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Need-to-know, encrypted 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Restricted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PII, client data, encryption keys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Strict access control, audit logging mandatory</w:t>
            </w:r>
          </w:p>
        </w:tc>
      </w:tr>
    </w:tbl>
    <w:p>
      <w:pPr>
        <w:pStyle w:val="Heading2"/>
        <w:spacing w:before="180"/>
      </w:pPr>
      <w:r>
        <w:t xml:space="preserve">4. Incident Response</w:t>
      </w:r>
    </w:p>
    <w:p>
      <w:r>
        <w:t xml:space="preserve">Security incidents must be reported within 1 hour of discovery to security@novatech.io and via the #security-alerts Slack channel. The Security team will triage within 15 minutes during business hours and 30 minutes after hours.</w:t>
      </w:r>
    </w:p>
    <w:p>
      <w:pPr>
        <w:pStyle w:val="Heading3"/>
      </w:pPr>
      <w:r>
        <w:t xml:space="preserve">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3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3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Response SLA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breach, data exfiltration, ransomware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minutes — all-hands incident response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Suspected breach, system compromise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Policy violation, phishing attempt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hours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P3 — Low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Suspicious activity, minor misuse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hours</w:t>
            </w:r>
          </w:p>
        </w:tc>
      </w:tr>
    </w:tbl>
    <w:p>
      <w:pPr>
        <w:pStyle w:val="Heading2"/>
        <w:spacing w:before="180"/>
      </w:pPr>
      <w:r>
        <w:t xml:space="preserve">5. Acceptable Use</w:t>
      </w:r>
    </w:p>
    <w:p>
      <w:r>
        <w:t xml:space="preserve">Company systems and assets are for business use. Limited personal use is acceptable if it does not: consume excessive bandwidth, involve illegal activity, compromise security, or violate any other policy. Prohibited activities include: installing unauthorized software, sharing credentials, accessing non-work systems on production servers, and disabling security controls.</w:t>
      </w:r>
    </w:p>
    <w:p>
      <w:pPr>
        <w:pStyle w:val="Heading2"/>
        <w:spacing w:before="180"/>
      </w:pPr>
      <w:r>
        <w:t xml:space="preserve">6. Compliance &amp; Auditing</w:t>
      </w:r>
    </w:p>
    <w:p>
      <w:r>
        <w:t xml:space="preserve">NovaTech maintains SOC 2 Type II and ISO 27001 certifications. All system access is logged and retained for minimum 90 days (12 months for Restricted data). Annual penetration testing is conducted by approved third-party vendor. Quarterly internal security audits are performed by the Security team.</w:t>
      </w:r>
    </w:p>
    <w:p>
      <w:pPr>
        <w:pStyle w:val="Heading2"/>
        <w:spacing w:before="180"/>
      </w:pPr>
      <w:r>
        <w:t xml:space="preserve">7. Security Team Contacts</w:t>
      </w:r>
    </w:p>
    <w:p>
      <w:r>
        <w:t xml:space="preserve">CISO: Priya Sharma (p.sharma@novatech.io)</w:t>
      </w:r>
    </w:p>
    <w:p>
      <w:r>
        <w:t xml:space="preserve">Security incidents: security@novatech.io | Ext. 3001</w:t>
      </w:r>
    </w:p>
    <w:p>
      <w:r>
        <w:t xml:space="preserve">VPN / Access issues: Marcus Webb (m.webb@novatech.io) | DevOps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0D4C2F"/>
      <w:sz w:val="32"/>
      <w:szCs w:val="32"/>
    </w:rPr>
  </w:style>
  <w:style w:type="paragraph" w:styleId="Heading2">
    <w:name w:val="Heading 2"/>
    <w:basedOn w:val="Normal"/>
    <w:next w:val="Normal"/>
    <w:qFormat/>
    <w:pPr>
      <w:spacing w:after="80" w:before="180"/>
      <w:outlineLvl w:val="1"/>
    </w:pPr>
    <w:rPr>
      <w:b/>
      <w:bCs/>
      <w:color w:val="1A6B41"/>
      <w:sz w:val="26"/>
      <w:szCs w:val="26"/>
    </w:rPr>
  </w:style>
  <w:style w:type="paragraph" w:styleId="Heading3">
    <w:name w:val="Heading 3"/>
    <w:basedOn w:val="Normal"/>
    <w:next w:val="Normal"/>
    <w:qFormat/>
    <w:pPr>
      <w:spacing w:after="60" w:before="12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2026-05-27T18:34:19.666Z</dcterms:created>
  <dcterms:modified xsi:type="dcterms:W3CDTF">2026-05-27T18:34:19.666Z</dcterms:modified>
</cp:coreProperties>
</file>

<file path=docProps/custom.xml><?xml version="1.0" encoding="utf-8"?>
<Properties xmlns="http://schemas.openxmlformats.org/officeDocument/2006/custom-properties" xmlns:vt="http://schemas.openxmlformats.org/officeDocument/2006/docPropsVTypes"/>
</file>