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line="480" w:lineRule="auto"/>
      </w:pPr>
    </w:p>
    <w:p>
      <w:pPr>
        <w:spacing w:before="0" w:after="160" w:line="480" w:lineRule="auto"/>
      </w:pPr>
    </w:p>
    <w:p>
      <w:pPr>
        <w:spacing w:before="0" w:after="160" w:line="480" w:lineRule="auto"/>
      </w:pPr>
    </w:p>
    <w:p>
      <w:pPr>
        <w:spacing w:before="0" w:after="160" w:line="480" w:lineRule="auto"/>
        <w:jc w:val="center"/>
      </w:pPr>
      <w:r>
        <w:rPr>
          <w:b/>
          <w:bCs/>
        </w:rPr>
        <w:t xml:space="preserve">Q-Wallet: seguridad desde el diseño de una billetera digital móvil en la nube de AWS</w:t>
      </w:r>
    </w:p>
    <w:p>
      <w:pPr>
        <w:spacing w:before="0" w:after="160" w:line="480" w:lineRule="auto"/>
        <w:jc w:val="center"/>
      </w:pPr>
      <w:r>
        <w:rPr>
          <w:b/>
          <w:bCs/>
        </w:rPr>
        <w:t xml:space="preserve">Entrega 1: Selección y Planificación; Activos y Riesgos</w:t>
      </w:r>
    </w:p>
    <w:p>
      <w:pPr>
        <w:spacing w:before="0" w:after="160" w:line="480" w:lineRule="auto"/>
      </w:pPr>
    </w:p>
    <w:p>
      <w:pPr>
        <w:spacing w:before="0" w:after="160" w:line="480" w:lineRule="auto"/>
        <w:jc w:val="center"/>
      </w:pPr>
      <w:r>
        <w:t xml:space="preserve">Katherine Johana Sandoval Monterroso (1493-21-16747)</w:t>
      </w:r>
    </w:p>
    <w:p>
      <w:pPr>
        <w:spacing w:before="0" w:after="160" w:line="480" w:lineRule="auto"/>
        <w:jc w:val="center"/>
      </w:pPr>
      <w:r>
        <w:t xml:space="preserve">Daniel Edivin Barrios Monzón (1493-19-3305)</w:t>
      </w:r>
    </w:p>
    <w:p>
      <w:pPr>
        <w:spacing w:before="0" w:after="160" w:line="480" w:lineRule="auto"/>
        <w:jc w:val="center"/>
      </w:pPr>
      <w:r>
        <w:t xml:space="preserve">Aroldo Francisco Lolmet Calel (1493-23-20110)</w:t>
      </w:r>
    </w:p>
    <w:p>
      <w:pPr>
        <w:spacing w:before="0" w:after="160" w:line="480" w:lineRule="auto"/>
      </w:pPr>
    </w:p>
    <w:p>
      <w:pPr>
        <w:spacing w:before="0" w:after="160" w:line="480" w:lineRule="auto"/>
        <w:jc w:val="center"/>
      </w:pPr>
      <w:r>
        <w:t xml:space="preserve">Facultad de Ingeniería en Sistemas, Programa de Postgrados, Universidad Mariano Gálvez de Guatemala</w:t>
      </w:r>
    </w:p>
    <w:p>
      <w:pPr>
        <w:spacing w:before="0" w:after="160" w:line="480" w:lineRule="auto"/>
        <w:jc w:val="center"/>
      </w:pPr>
      <w:r>
        <w:t xml:space="preserve">Maestría en Seguridad Informática</w:t>
      </w:r>
    </w:p>
    <w:p>
      <w:pPr>
        <w:spacing w:before="0" w:after="160" w:line="480" w:lineRule="auto"/>
        <w:jc w:val="center"/>
      </w:pPr>
      <w:r>
        <w:t xml:space="preserve">Seguridad en Aplicaciones</w:t>
      </w:r>
    </w:p>
    <w:p>
      <w:pPr>
        <w:spacing w:before="0" w:after="160" w:line="480" w:lineRule="auto"/>
        <w:jc w:val="center"/>
      </w:pPr>
      <w:r>
        <w:t xml:space="preserve">Osberto Saúl Gallo Orozco</w:t>
      </w:r>
    </w:p>
    <w:p>
      <w:pPr>
        <w:spacing w:before="0" w:after="160" w:line="480" w:lineRule="auto"/>
        <w:jc w:val="center"/>
      </w:pPr>
      <w:r>
        <w:t xml:space="preserve">17 de octubre de 2026</w:t>
      </w:r>
    </w:p>
    <w:p>
      <w:pPr>
        <w:spacing w:before="0" w:after="160" w:line="480" w:lineRule="auto"/>
      </w:pPr>
      <w:r>
        <w:br w:type="page"/>
      </w:r>
    </w:p>
    <w:p>
      <w:pPr>
        <w:pStyle w:val="Heading1"/>
        <w:keepNext/>
        <w:keepLines/>
        <w:spacing w:before="0" w:after="160" w:line="480" w:lineRule="auto"/>
        <w:jc w:val="center"/>
        <w:outlineLvl w:val="0"/>
      </w:pPr>
      <w:r>
        <w:t>Resumen ejecutivo</w:t>
      </w:r>
    </w:p>
    <w:p>
      <w:pPr>
        <w:spacing w:before="0" w:after="160" w:line="480" w:lineRule="auto"/>
        <w:ind w:firstLine="720"/>
        <w:jc w:val="both"/>
      </w:pPr>
      <w:r>
        <w:t xml:space="preserve">Q-Wallet es una billetera digital ficticia para Android, con dinero simulado en quetzales, que funciona sobre servicios de Amazon Web Services: API Gateway, Cognito, Lambda y DynamoDB. En esta primera entrega presentamos la selección y planificación del proyecto y el análisis de activos y riesgos. Trabajamos con un enfoque seguro desde el diseño: construimos la aplicación con sus controles desde el inicio, y las pruebas de las fases siguientes servirán para demostrar que esos controles funcionan.</w:t>
      </w:r>
    </w:p>
    <w:p>
      <w:pPr>
        <w:spacing w:before="0" w:after="160" w:line="480" w:lineRule="auto"/>
        <w:ind w:firstLine="720"/>
        <w:jc w:val="both"/>
      </w:pPr>
      <w:r>
        <w:t xml:space="preserve">Seguimos el proceso de gestión de riesgos de ISO/IEC 27005:2022. Inventariamos 28 activos de seis tipos según ISO/IEC 27001:2022 y los clasificamos por confidencialidad, integridad y disponibilidad: 11 resultaron de criticidad crítica, 13 alta y 4 media. Modelamos la arquitectura en diagramas de flujo de datos de tres niveles, con seis fronteras de confianza, y aplicamos STRIDE a cada elemento. Identificamos 41 amenazas y justificamos 14 categorías STRIDE que no requerían una amenaza separada, porque ya las cubre otra; la categoría más frecuente fue la divulgación de información, con 13 amenazas, seguida de la manipulación, con 9.</w:t>
      </w:r>
    </w:p>
    <w:p>
      <w:pPr>
        <w:spacing w:before="0" w:after="160" w:line="480" w:lineRule="auto"/>
        <w:ind w:firstLine="720"/>
        <w:jc w:val="both"/>
      </w:pPr>
      <w:r>
        <w:t xml:space="preserve">Valoramos cada amenaza con DREAD y la convertimos en probabilidad e impacto sobre una matriz de 5 × 5. El riesgo inherente quedó en 18 riesgos críticos, 12 altos, 11 medios y ninguno bajo, repartidos en las siete capas de defensa en profundidad. Para tratarlos definimos 23 controles (CTRL-01 a CTRL-23), entre ellos la autorización a nivel de objeto, el PIN de transacción con bloqueo, la autenticación multifactor con OAuth2 y PKCE, el cifrado con llaves propias de KMS, AWS WAF, la autoprotección de la aplicación en tiempo de ejecución y un SIEM con Wazuh. Decidimos mitigar 39 riesgos y aceptar 2.</w:t>
      </w:r>
    </w:p>
    <w:p>
      <w:pPr>
        <w:spacing w:before="0" w:after="160" w:line="480" w:lineRule="auto"/>
        <w:ind w:firstLine="720"/>
        <w:jc w:val="both"/>
      </w:pPr>
      <w:r>
        <w:t xml:space="preserve">Con los controles implementados, el riesgo residual proyectado baja a 0 críticos, 1 alto, 26 medios y 14 bajos, y la suma de los puntajes de riesgo pasa de 580 a 207, una reducción del 64 %. El único riesgo alto que queda, RSK-32 (compromiso del flujo de despliegue), no lo aceptamos: tiene un plan de refuerzo para llevarlo a nivel medio. Esta proyección todavía no está verificada. En las fases siguientes desplegaremos la arquitectura con Terraform y GitHub Actions y ejecutaremos los casos de abuso dentro de la política de pruebas de AWS para medir el riesgo residual real.</w:t>
      </w:r>
    </w:p>
    <w:p>
      <w:pPr>
        <w:spacing w:before="0" w:after="160" w:line="480" w:lineRule="auto"/>
      </w:pPr>
      <w:r>
        <w:br w:type="page"/>
      </w:r>
    </w:p>
    <w:p>
      <w:pPr>
        <w:spacing w:after="160" w:before="0" w:line="480" w:lineRule="auto"/>
        <w:jc w:val="center"/>
      </w:pPr>
      <w:r>
        <w:rPr>
          <w:b/>
          <w:bCs/>
        </w:rPr>
        <w:t xml:space="preserve">Índice</w:t>
      </w:r>
    </w:p>
    <w:p>
      <w:pPr>
        <w:pStyle w:val="TOC1"/>
        <w:spacing w:before="0" w:after="160" w:line="480" w:lineRule="auto"/>
      </w:pPr>
      <w:r>
        <w:fldChar w:fldCharType="begin"/>
      </w:r>
      <w:r>
        <w:instrText xml:space="preserve"> TOC \o "1-3" \h \z \u </w:instrText>
      </w:r>
      <w:r>
        <w:fldChar w:fldCharType="separate"/>
      </w:r>
      <w:r>
        <w:t xml:space="preserve">Resumen ejecutivo</w:t>
      </w:r>
      <w:r>
        <w:t xml:space="preserve">	2</w:t>
      </w:r>
    </w:p>
    <w:p>
      <w:pPr>
        <w:pStyle w:val="TOC1"/>
        <w:spacing w:before="0" w:after="160" w:line="480" w:lineRule="auto"/>
      </w:pPr>
      <w:r>
        <w:t xml:space="preserve">1. Selección y Planificación</w:t>
      </w:r>
      <w:r>
        <w:t xml:space="preserve">	6</w:t>
      </w:r>
    </w:p>
    <w:p>
      <w:pPr>
        <w:pStyle w:val="TOC2"/>
        <w:spacing w:before="0" w:after="160" w:line="480" w:lineRule="auto"/>
      </w:pPr>
      <w:r>
        <w:t xml:space="preserve">1.1 Contexto</w:t>
      </w:r>
      <w:r>
        <w:t xml:space="preserve">	6</w:t>
      </w:r>
    </w:p>
    <w:p>
      <w:pPr>
        <w:pStyle w:val="TOC2"/>
        <w:spacing w:before="0" w:after="160" w:line="480" w:lineRule="auto"/>
      </w:pPr>
      <w:r>
        <w:t xml:space="preserve">1.2 Objetivos</w:t>
      </w:r>
      <w:r>
        <w:t xml:space="preserve">	8</w:t>
      </w:r>
    </w:p>
    <w:p>
      <w:pPr>
        <w:pStyle w:val="TOC3"/>
        <w:spacing w:before="0" w:after="160" w:line="480" w:lineRule="auto"/>
      </w:pPr>
      <w:r>
        <w:t xml:space="preserve">Objetivo general</w:t>
      </w:r>
      <w:r>
        <w:t xml:space="preserve">	8</w:t>
      </w:r>
    </w:p>
    <w:p>
      <w:pPr>
        <w:pStyle w:val="TOC3"/>
        <w:spacing w:before="0" w:after="160" w:line="480" w:lineRule="auto"/>
      </w:pPr>
      <w:r>
        <w:t xml:space="preserve">Objetivos específicos</w:t>
      </w:r>
      <w:r>
        <w:t xml:space="preserve">	8</w:t>
      </w:r>
    </w:p>
    <w:p>
      <w:pPr>
        <w:pStyle w:val="TOC2"/>
        <w:spacing w:before="0" w:after="160" w:line="480" w:lineRule="auto"/>
      </w:pPr>
      <w:r>
        <w:t xml:space="preserve">1.3 Alcance</w:t>
      </w:r>
      <w:r>
        <w:t xml:space="preserve">	11</w:t>
      </w:r>
    </w:p>
    <w:p>
      <w:pPr>
        <w:pStyle w:val="TOC3"/>
        <w:spacing w:before="0" w:after="160" w:line="480" w:lineRule="auto"/>
      </w:pPr>
      <w:r>
        <w:t xml:space="preserve">Enfoque seguro desde el diseño</w:t>
      </w:r>
      <w:r>
        <w:t xml:space="preserve">	12</w:t>
      </w:r>
    </w:p>
    <w:p>
      <w:pPr>
        <w:pStyle w:val="TOC3"/>
        <w:spacing w:before="0" w:after="160" w:line="480" w:lineRule="auto"/>
      </w:pPr>
      <w:r>
        <w:t xml:space="preserve">Restricciones</w:t>
      </w:r>
      <w:r>
        <w:t xml:space="preserve">	13</w:t>
      </w:r>
    </w:p>
    <w:p>
      <w:pPr>
        <w:pStyle w:val="TOC2"/>
        <w:spacing w:before="0" w:after="160" w:line="480" w:lineRule="auto"/>
      </w:pPr>
      <w:r>
        <w:t xml:space="preserve">1.4 Normativas y estándares de referencia</w:t>
      </w:r>
      <w:r>
        <w:t xml:space="preserve">	14</w:t>
      </w:r>
    </w:p>
    <w:p>
      <w:pPr>
        <w:pStyle w:val="TOC2"/>
        <w:spacing w:before="0" w:after="160" w:line="480" w:lineRule="auto"/>
      </w:pPr>
      <w:r>
        <w:t xml:space="preserve">1.5 Definición del scope técnico</w:t>
      </w:r>
      <w:r>
        <w:t xml:space="preserve">	16</w:t>
      </w:r>
    </w:p>
    <w:p>
      <w:pPr>
        <w:pStyle w:val="TOC3"/>
        <w:spacing w:before="0" w:after="160" w:line="480" w:lineRule="auto"/>
      </w:pPr>
      <w:r>
        <w:t xml:space="preserve">1.5.1 Arquitectura de la solución</w:t>
      </w:r>
      <w:r>
        <w:t xml:space="preserve">	17</w:t>
      </w:r>
    </w:p>
    <w:p>
      <w:pPr>
        <w:pStyle w:val="TOC3"/>
        <w:spacing w:before="0" w:after="160" w:line="480" w:lineRule="auto"/>
      </w:pPr>
      <w:r>
        <w:t xml:space="preserve">1.5.2 Superficie de la API</w:t>
      </w:r>
      <w:r>
        <w:t xml:space="preserve">	20</w:t>
      </w:r>
    </w:p>
    <w:p>
      <w:pPr>
        <w:pStyle w:val="TOC3"/>
        <w:spacing w:before="0" w:after="160" w:line="480" w:lineRule="auto"/>
      </w:pPr>
      <w:r>
        <w:t xml:space="preserve">1.5.3 Fronteras de confianza</w:t>
      </w:r>
      <w:r>
        <w:t xml:space="preserve">	21</w:t>
      </w:r>
    </w:p>
    <w:p>
      <w:pPr>
        <w:pStyle w:val="TOC3"/>
        <w:spacing w:before="0" w:after="160" w:line="480" w:lineRule="auto"/>
      </w:pPr>
      <w:r>
        <w:t xml:space="preserve">1.5.4 Controles de seguridad por componente</w:t>
      </w:r>
      <w:r>
        <w:t xml:space="preserve">	22</w:t>
      </w:r>
    </w:p>
    <w:p>
      <w:pPr>
        <w:pStyle w:val="TOC3"/>
        <w:spacing w:before="0" w:after="160" w:line="480" w:lineRule="auto"/>
      </w:pPr>
      <w:r>
        <w:t xml:space="preserve">1.5.5 Herramientas por fase</w:t>
      </w:r>
      <w:r>
        <w:t xml:space="preserve">	24</w:t>
      </w:r>
    </w:p>
    <w:p>
      <w:pPr>
        <w:pStyle w:val="TOC3"/>
        <w:spacing w:before="0" w:after="160" w:line="480" w:lineRule="auto"/>
      </w:pPr>
      <w:r>
        <w:t xml:space="preserve">1.5.6 Reglas de enfrentamiento del pentest</w:t>
      </w:r>
      <w:r>
        <w:t xml:space="preserve">	25</w:t>
      </w:r>
    </w:p>
    <w:p>
      <w:pPr>
        <w:pStyle w:val="TOC1"/>
        <w:spacing w:before="0" w:after="160" w:line="480" w:lineRule="auto"/>
      </w:pPr>
      <w:r>
        <w:t xml:space="preserve">2. Activos y Riesgos</w:t>
      </w:r>
      <w:r>
        <w:t xml:space="preserve">	29</w:t>
      </w:r>
    </w:p>
    <w:p>
      <w:pPr>
        <w:pStyle w:val="TOC2"/>
        <w:spacing w:before="0" w:after="160" w:line="480" w:lineRule="auto"/>
      </w:pPr>
      <w:r>
        <w:t xml:space="preserve">2.1 Inventario de activos</w:t>
      </w:r>
      <w:r>
        <w:t xml:space="preserve">	29</w:t>
      </w:r>
    </w:p>
    <w:p>
      <w:pPr>
        <w:pStyle w:val="TOC2"/>
        <w:spacing w:before="0" w:after="160" w:line="480" w:lineRule="auto"/>
      </w:pPr>
      <w:r>
        <w:t xml:space="preserve">2.2 Clasificación CIA y criticidad</w:t>
      </w:r>
      <w:r>
        <w:t xml:space="preserve">	36</w:t>
      </w:r>
    </w:p>
    <w:p>
      <w:pPr>
        <w:pStyle w:val="TOC2"/>
        <w:spacing w:before="0" w:after="160" w:line="480" w:lineRule="auto"/>
      </w:pPr>
      <w:r>
        <w:t xml:space="preserve">2.3 Modelado de amenazas STRIDE</w:t>
      </w:r>
      <w:r>
        <w:t xml:space="preserve">	38</w:t>
      </w:r>
    </w:p>
    <w:p>
      <w:pPr>
        <w:pStyle w:val="TOC2"/>
        <w:spacing w:before="0" w:after="160" w:line="480" w:lineRule="auto"/>
      </w:pPr>
      <w:r>
        <w:t xml:space="preserve">2.4 Valoración DREAD</w:t>
      </w:r>
      <w:r>
        <w:t xml:space="preserve">	48</w:t>
      </w:r>
    </w:p>
    <w:p>
      <w:pPr>
        <w:pStyle w:val="TOC2"/>
        <w:spacing w:before="0" w:after="160" w:line="480" w:lineRule="auto"/>
      </w:pPr>
      <w:r>
        <w:t xml:space="preserve">2.5 Matriz de riesgos inicial</w:t>
      </w:r>
      <w:r>
        <w:t xml:space="preserve">	52</w:t>
      </w:r>
    </w:p>
    <w:p>
      <w:pPr>
        <w:pStyle w:val="TOC3"/>
        <w:spacing w:before="0" w:after="160" w:line="480" w:lineRule="auto"/>
      </w:pPr>
      <w:r>
        <w:t xml:space="preserve">2.5.1 Conversión de DREAD a probabilidad e impacto</w:t>
      </w:r>
      <w:r>
        <w:t xml:space="preserve">	52</w:t>
      </w:r>
    </w:p>
    <w:p>
      <w:pPr>
        <w:pStyle w:val="TOC3"/>
        <w:spacing w:before="0" w:after="160" w:line="480" w:lineRule="auto"/>
      </w:pPr>
      <w:r>
        <w:t xml:space="preserve">2.5.2 Matriz de riesgos</w:t>
      </w:r>
      <w:r>
        <w:t xml:space="preserve">	53</w:t>
      </w:r>
    </w:p>
    <w:p>
      <w:pPr>
        <w:pStyle w:val="TOC3"/>
        <w:spacing w:before="0" w:after="160" w:line="480" w:lineRule="auto"/>
      </w:pPr>
      <w:r>
        <w:t xml:space="preserve">2.5.3 Mapa de calor del riesgo inherente</w:t>
      </w:r>
      <w:r>
        <w:t xml:space="preserve">	56</w:t>
      </w:r>
    </w:p>
    <w:p>
      <w:pPr>
        <w:pStyle w:val="TOC3"/>
        <w:spacing w:before="0" w:after="160" w:line="480" w:lineRule="auto"/>
      </w:pPr>
      <w:r>
        <w:t xml:space="preserve">2.5.4 Riesgos por capa de defensa</w:t>
      </w:r>
      <w:r>
        <w:t xml:space="preserve">	57</w:t>
      </w:r>
    </w:p>
    <w:p>
      <w:pPr>
        <w:pStyle w:val="TOC3"/>
        <w:spacing w:before="0" w:after="160" w:line="480" w:lineRule="auto"/>
      </w:pPr>
      <w:r>
        <w:t xml:space="preserve">2.5.5 Riesgo residual proyectado y tratamiento</w:t>
      </w:r>
      <w:r>
        <w:t xml:space="preserve">	59</w:t>
      </w:r>
    </w:p>
    <w:p>
      <w:pPr>
        <w:pStyle w:val="TOC1"/>
        <w:spacing w:before="0" w:after="160" w:line="480" w:lineRule="auto"/>
      </w:pPr>
      <w:r>
        <w:t xml:space="preserve">Referencias</w:t>
      </w:r>
      <w:r>
        <w:t xml:space="preserve">	64</w:t>
      </w:r>
      <w:r>
        <w:fldChar w:fldCharType="end"/>
      </w:r>
    </w:p>
    <w:p>
      <w:pPr>
        <w:pStyle w:val="Heading1"/>
        <w:keepNext/>
        <w:keepLines/>
        <w:pageBreakBefore/>
        <w:spacing w:before="0" w:after="160" w:line="480" w:lineRule="auto"/>
        <w:jc w:val="center"/>
        <w:outlineLvl w:val="0"/>
      </w:pPr>
      <w:r>
        <w:t>1. Selección y Planificación</w:t>
      </w:r>
    </w:p>
    <w:p>
      <w:pPr>
        <w:pStyle w:val="Heading2"/>
        <w:keepNext/>
        <w:keepLines/>
        <w:spacing w:before="0" w:after="160" w:line="480" w:lineRule="auto"/>
        <w:jc w:val="left"/>
        <w:outlineLvl w:val="1"/>
      </w:pPr>
      <w:r>
        <w:t>1.1 Contexto</w:t>
      </w:r>
    </w:p>
    <w:p>
      <w:pPr>
        <w:spacing w:line="480" w:lineRule="auto" w:before="0" w:after="160"/>
        <w:ind w:firstLine="720"/>
        <w:jc w:val="both"/>
      </w:pPr>
      <w:r>
        <w:rPr>
          <w:rFonts w:ascii="Times New Roman" w:cs="Times New Roman" w:eastAsia="Times New Roman" w:hAnsi="Times New Roman"/>
        </w:rPr>
        <w:t xml:space="preserve">En América Latina y el Caribe, el ecosistema de tecnología financiera (fintech) pasó de 703 emprendimientos en 18 países en 2017 a 3,069 en 26 países en 2023. Dentro de ese total, Guatemala concentra el 1.11 % de las plataformas de la región y, en Centroamérica, el segmento de pagos y remesas tiene un peso mayor que en el resto de la región (Finnovista et al., 2024). Estas cifras muestran un mercado todavía pequeño, pero en crecimiento y orientado precisamente al tipo de servicio que desarrollamos en este proyecto: la transferencia de dinero entre personas desde el teléfono.</w:t>
      </w:r>
    </w:p>
    <w:p>
      <w:pPr>
        <w:spacing w:line="480" w:lineRule="auto" w:before="0" w:after="160"/>
        <w:ind w:firstLine="720"/>
        <w:jc w:val="both"/>
      </w:pPr>
      <w:r>
        <w:rPr>
          <w:rFonts w:ascii="Times New Roman" w:cs="Times New Roman" w:eastAsia="Times New Roman" w:hAnsi="Times New Roman"/>
        </w:rPr>
        <w:t xml:space="preserve">La oportunidad se explica por la brecha de inclusión financiera del país. Según la Global Findex 2025 del Banco Mundial, solo el 38 % de los adultos guatemaltecos tiene una cuenta financiera y apenas el 23 % ha realizado o recibido pagos digitales, frente al 71 % y 60 %, respectivamente, de Costa Rica (Banco Mundial, 2025, como se citó en Estrategia &amp; Negocios, 2025) [VERIFICAR en la base primaria de Global Findex]. Una billetera móvil reduce las barreras de acceso, pero también incorpora a usuarios con poca experiencia en canales digitales, lo que aumenta su exposición al fraude y a la suplantación de identidad.</w:t>
      </w:r>
    </w:p>
    <w:p>
      <w:pPr>
        <w:spacing w:line="480" w:lineRule="auto" w:before="0" w:after="160"/>
        <w:ind w:firstLine="720"/>
        <w:jc w:val="both"/>
      </w:pPr>
      <w:r>
        <w:rPr>
          <w:rFonts w:ascii="Times New Roman" w:cs="Times New Roman" w:eastAsia="Times New Roman" w:hAnsi="Times New Roman"/>
        </w:rPr>
        <w:t xml:space="preserve">Las aplicaciones financieras móviles concentran en un mismo punto dinero, credenciales y datos personales, por lo que son un objetivo prioritario para los atacantes. La pérdida de control de acceso ocupa el primer lugar del OWASP Top 10:2025 (OWASP Foundation, 2025) y la autorización defectuosa a nivel de objeto encabeza el OWASP API Security Top 10 2023 (OWASP Foundation, 2023): ambas fallas permiten, en una billetera, consultar o mover el dinero de otra persona. En Guatemala, las entidades supervisadas por la Superintendencia de Bancos (SIB) gestionan este riesgo conforme al Reglamento para la Administración del Riesgo Tecnológico de la Junta Monetaria, emitido por la Resolución JM-98-2025, que derogó la Resolución JM-104-2021 (Amazon Web Services [AWS], s. f.-a; Carrillo &amp; Asociados, 2025).</w:t>
      </w:r>
    </w:p>
    <w:p>
      <w:pPr>
        <w:spacing w:line="480" w:lineRule="auto" w:before="0" w:after="160"/>
        <w:ind w:firstLine="720"/>
        <w:jc w:val="both"/>
      </w:pPr>
      <w:r>
        <w:rPr>
          <w:rFonts w:ascii="Times New Roman" w:cs="Times New Roman" w:eastAsia="Times New Roman" w:hAnsi="Times New Roman"/>
        </w:rPr>
        <w:t xml:space="preserve">En este contexto planteamos Q-Wallet, una billetera digital de la empresa ficticia Q-Wallet, S.A., que combina transferencias entre personas con un control de gastos personal. La aplicación funciona en Android, opera con dinero simulado en quetzales (GTQ) y almacena todos los montos como números enteros en centavos, para evitar errores de redondeo. Tiene dos roles: el cliente, que usa la aplicación móvil, y el personal de soporte o administración, que opera mediante servicios de administración protegidos y no cuenta con una aplicación web. La Tabla 1 resume las funciones del producto mínimo viable.</w:t>
      </w:r>
    </w:p>
    <w:p>
      <w:pPr>
        <w:keepNext/>
        <w:spacing w:before="0" w:line="480" w:lineRule="auto" w:after="160"/>
      </w:pPr>
      <w:r>
        <w:rPr>
          <w:rFonts w:ascii="Times New Roman" w:cs="Times New Roman" w:eastAsia="Times New Roman" w:hAnsi="Times New Roman"/>
          <w:b/>
          <w:bCs/>
          <w:sz w:val="24"/>
          <w:szCs w:val="24"/>
        </w:rPr>
        <w:t xml:space="preserve">Tabla 1</w:t>
      </w:r>
    </w:p>
    <w:p>
      <w:pPr>
        <w:keepNext/>
        <w:spacing w:after="160" w:line="480" w:lineRule="auto" w:before="0"/>
      </w:pPr>
      <w:r>
        <w:rPr>
          <w:rFonts w:ascii="Times New Roman" w:cs="Times New Roman" w:eastAsia="Times New Roman" w:hAnsi="Times New Roman"/>
          <w:i/>
          <w:iCs/>
          <w:sz w:val="24"/>
          <w:szCs w:val="24"/>
        </w:rPr>
        <w:t xml:space="preserve">Funciones del producto mínimo viable de Q-Wallet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360" w:lineRule="auto" w:before="0" w:after="0"/>
            </w:pPr>
            <w:r>
              <w:rPr>
                <w:rFonts w:ascii="Times New Roman" w:cs="Times New Roman" w:eastAsia="Times New Roman" w:hAnsi="Times New Roman"/>
                <w:b/>
                <w:bCs/>
                <w:sz w:val="20"/>
                <w:szCs w:val="20"/>
              </w:rPr>
              <w:t xml:space="preserve">ID</w:t>
            </w:r>
          </w:p>
        </w:tc>
        <w:tc>
          <w:tcPr>
            <w:tcW w:type="dxa" w:w="240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360" w:lineRule="auto" w:before="0" w:after="0"/>
            </w:pPr>
            <w:r>
              <w:rPr>
                <w:rFonts w:ascii="Times New Roman" w:cs="Times New Roman" w:eastAsia="Times New Roman" w:hAnsi="Times New Roman"/>
                <w:b/>
                <w:bCs/>
                <w:sz w:val="20"/>
                <w:szCs w:val="20"/>
              </w:rPr>
              <w:t xml:space="preserve">Función</w:t>
            </w:r>
          </w:p>
        </w:tc>
        <w:tc>
          <w:tcPr>
            <w:tcW w:type="dxa" w:w="606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360" w:lineRule="auto" w:before="0" w:after="0"/>
            </w:pPr>
            <w:r>
              <w:rPr>
                <w:rFonts w:ascii="Times New Roman" w:cs="Times New Roman" w:eastAsia="Times New Roman" w:hAnsi="Times New Roman"/>
                <w:b/>
                <w:bCs/>
                <w:sz w:val="20"/>
                <w:szCs w:val="20"/>
              </w:rPr>
              <w:t xml:space="preserve">Descripción</w:t>
            </w:r>
          </w:p>
        </w:tc>
      </w:tr>
      <w:tr>
        <w:trPr>
          <w:cantSplit/>
        </w:trPr>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F1</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Registro e inicio de sesión</w:t>
            </w:r>
          </w:p>
        </w:tc>
        <w:tc>
          <w:tcPr>
            <w:tcW w:type="dxa" w:w="6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OAuth 2.0 con código de autorización y PKCE mediante el inicio de sesión administrado de Amazon Cognito, con segundo factor TOTP obligatorio.</w:t>
            </w:r>
          </w:p>
        </w:tc>
      </w:tr>
      <w:tr>
        <w:trPr>
          <w:cantSplit/>
        </w:trPr>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F2</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Desbloqueo biométrico</w:t>
            </w:r>
          </w:p>
        </w:tc>
        <w:tc>
          <w:tcPr>
            <w:tcW w:type="dxa" w:w="6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Reapertura de la sesión con huella o rostro, verificada localmente en el dispositivo.</w:t>
            </w:r>
          </w:p>
        </w:tc>
      </w:tr>
      <w:tr>
        <w:trPr>
          <w:cantSplit/>
        </w:trPr>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F3</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Saldo y movimientos</w:t>
            </w:r>
          </w:p>
        </w:tc>
        <w:tc>
          <w:tcPr>
            <w:tcW w:type="dxa" w:w="6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Consulta del saldo y del historial de movimientos, paginado por cursor.</w:t>
            </w:r>
          </w:p>
        </w:tc>
      </w:tr>
      <w:tr>
        <w:trPr>
          <w:cantSplit/>
        </w:trPr>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F4</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Transferencia P2P</w:t>
            </w:r>
          </w:p>
        </w:tc>
        <w:tc>
          <w:tcPr>
            <w:tcW w:type="dxa" w:w="6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Envío de dinero a otro usuario identificado por su número de teléfono, autorizado con un PIN de transacción.</w:t>
            </w:r>
          </w:p>
        </w:tc>
      </w:tr>
      <w:tr>
        <w:trPr>
          <w:cantSplit/>
        </w:trPr>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F5</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Beneficiarios frecuentes</w:t>
            </w:r>
          </w:p>
        </w:tc>
        <w:tc>
          <w:tcPr>
            <w:tcW w:type="dxa" w:w="6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Registro y eliminación de destinatarios habituales.</w:t>
            </w:r>
          </w:p>
        </w:tc>
      </w:tr>
      <w:tr>
        <w:trPr>
          <w:cantSplit/>
        </w:trPr>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F6</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Control de gastos</w:t>
            </w:r>
          </w:p>
        </w:tc>
        <w:tc>
          <w:tcPr>
            <w:tcW w:type="dxa" w:w="6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Categorías, presupuestos mensuales y alertas al superarlos.</w:t>
            </w:r>
          </w:p>
        </w:tc>
      </w:tr>
      <w:tr>
        <w:trPr>
          <w:cantSplit/>
        </w:trPr>
        <w:tc>
          <w:tcPr>
            <w:tcW w:type="dxa" w:w="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F7</w:t>
            </w:r>
          </w:p>
        </w:tc>
        <w:tc>
          <w:tcPr>
            <w:tcW w:type="dxa" w:w="24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Administración</w:t>
            </w:r>
          </w:p>
        </w:tc>
        <w:tc>
          <w:tcPr>
            <w:tcW w:type="dxa" w:w="60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Listado y bloqueo de usuarios y consulta del registro de auditoría, solo para el grupo de administradores.</w:t>
            </w:r>
          </w:p>
        </w:tc>
      </w:tr>
    </w:tbl>
    <w:p>
      <w:pPr>
        <w:spacing w:after="160" w:before="0" w:line="480" w:lineRule="auto"/>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Fuera del alcance quedan iOS, la versión web, las tarjetas reales, la integración con bancos reales y la verificación de identidad (KYC) real.</w:t>
      </w:r>
    </w:p>
    <w:p>
      <w:pPr>
        <w:spacing w:line="480" w:lineRule="auto" w:before="0" w:after="160"/>
        <w:ind w:firstLine="720"/>
        <w:jc w:val="both"/>
      </w:pPr>
      <w:r>
        <w:rPr>
          <w:rFonts w:ascii="Times New Roman" w:cs="Times New Roman" w:eastAsia="Times New Roman" w:hAnsi="Times New Roman"/>
        </w:rPr>
        <w:t xml:space="preserve">El problema que abordamos no es construir una billetera más, sino demostrar con evidencia que cada amenaza identificada en el diseño cuenta con un control que la mitiga, o con una decisión de tratamiento justificada cuando ningún control aplica (AME-01), y que ese control funciona. Por indicación del catedrático, Q-Wallet se construye segura desde el diseño: no existe una versión vulnerable que luego se corrige, sino una aplicación que incorpora sus controles desde el inicio y cuya eficacia se comprueba mediante pruebas de penetración.</w:t>
      </w:r>
    </w:p>
    <w:p>
      <w:pPr>
        <w:pStyle w:val="Heading2"/>
        <w:keepNext/>
        <w:keepLines/>
        <w:spacing w:before="0" w:after="160" w:line="480" w:lineRule="auto"/>
        <w:jc w:val="left"/>
        <w:outlineLvl w:val="1"/>
      </w:pPr>
      <w:r>
        <w:t>1.2 Objetivos</w:t>
      </w:r>
    </w:p>
    <w:p>
      <w:pPr>
        <w:pStyle w:val="Heading3"/>
        <w:keepNext/>
        <w:keepLines/>
        <w:spacing w:before="0" w:after="160" w:line="480" w:lineRule="auto"/>
        <w:jc w:val="left"/>
        <w:outlineLvl w:val="2"/>
      </w:pPr>
      <w:r>
        <w:t>Objetivo general</w:t>
      </w:r>
    </w:p>
    <w:p>
      <w:pPr>
        <w:spacing w:line="480" w:lineRule="auto" w:before="0" w:after="160"/>
        <w:ind w:firstLine="720"/>
        <w:jc w:val="both"/>
      </w:pPr>
      <w:r>
        <w:rPr>
          <w:rFonts w:ascii="Times New Roman" w:cs="Times New Roman" w:eastAsia="Times New Roman" w:hAnsi="Times New Roman"/>
        </w:rPr>
        <w:t xml:space="preserve">Diseñar, implementar y evaluar la seguridad de Q-Wallet, una aplicación móvil Android de billetera digital con servicios en la nube de AWS, aplicando un enfoque seguro desde el diseño basado en ISO/IEC 27001:2022, ISO/IEC 27005:2022, OWASP MASVS y OWASP API Security Top 10, para demostrar con evidencia verificable la reducción del riesgo inherente a un riesgo residual aceptable antes de la entrega final del curso.</w:t>
      </w:r>
    </w:p>
    <w:p>
      <w:pPr>
        <w:pStyle w:val="Heading3"/>
        <w:keepNext/>
        <w:keepLines/>
        <w:spacing w:before="0" w:after="160" w:line="480" w:lineRule="auto"/>
        <w:jc w:val="left"/>
        <w:outlineLvl w:val="2"/>
      </w:pPr>
      <w:r>
        <w:t>Objetivos específicos</w:t>
      </w:r>
    </w:p>
    <w:p>
      <w:pPr>
        <w:spacing w:line="480" w:lineRule="auto" w:before="0" w:after="160"/>
        <w:ind w:firstLine="720"/>
        <w:jc w:val="both"/>
      </w:pPr>
      <w:r>
        <w:rPr>
          <w:rFonts w:ascii="Times New Roman" w:cs="Times New Roman" w:eastAsia="Times New Roman" w:hAnsi="Times New Roman"/>
        </w:rPr>
        <w:t xml:space="preserve">OE1. Identificar y valorar al menos 25 activos de información de Q-Wallet, clasificados en seis tipos según ISO/IEC 27001:2022 y con su valoración de confidencialidad, integridad y disponibilidad, y modelar las amenazas con STRIDE sobre los diagramas de flujo de datos de niveles 0, 1 y 2, valorando con DREAD y con la matriz de probabilidad por impacto el 100 % de las amenazas identificadas en las siete capas de seguridad, a más tardar el 17 de octubre de 2026.</w:t>
      </w:r>
    </w:p>
    <w:p>
      <w:pPr>
        <w:spacing w:line="480" w:lineRule="auto" w:before="0" w:after="160"/>
        <w:ind w:firstLine="720"/>
        <w:jc w:val="both"/>
      </w:pPr>
      <w:r>
        <w:rPr>
          <w:rFonts w:ascii="Times New Roman" w:cs="Times New Roman" w:eastAsia="Times New Roman" w:hAnsi="Times New Roman"/>
        </w:rPr>
        <w:t xml:space="preserve">OE2. Desplegar mediante Terraform la arquitectura de Q-Wallet en AWS (API Gateway REST, Amazon Cognito, AWS Lambda y Amazon DynamoDB cifrada con una llave KMS propia) e integrar un flujo de integración continua en GitHub Actions con análisis estático de código, análisis de dependencias, detección de secretos y análisis de infraestructura como código y de contenedores, configurado para detener el despliegue ante hallazgos de severidad alta o crítica, de modo que la rama principal no tenga hallazgos altos o críticos abiertos sin justificar antes de la entrega final.</w:t>
      </w:r>
    </w:p>
    <w:p>
      <w:pPr>
        <w:spacing w:line="480" w:lineRule="auto" w:before="0" w:after="160"/>
        <w:ind w:firstLine="720"/>
        <w:jc w:val="both"/>
      </w:pPr>
      <w:r>
        <w:rPr>
          <w:rFonts w:ascii="Times New Roman" w:cs="Times New Roman" w:eastAsia="Times New Roman" w:hAnsi="Times New Roman"/>
        </w:rPr>
        <w:t xml:space="preserve">OE3. Verificar la eficacia de los controles mediante pruebas de caja negra con OWASP ZAP y Burp Suite y pruebas de caja gris y blanca con MobSF, Frida y objection, ejecutando los 13 casos de abuso del catálogo (CA-01 a CA-13) dentro de la política de pruebas de AWS, con el diseño ajustado que resume la Tabla 11, y obteniendo para el 100 % de ellos evidencia del bloqueo (respuesta 401, 403 o 429, bloqueo del firewall de aplicaciones o alerta en el SIEM) antes de la entrega final.</w:t>
      </w:r>
    </w:p>
    <w:p>
      <w:pPr>
        <w:spacing w:line="480" w:lineRule="auto" w:before="0" w:after="160"/>
        <w:ind w:firstLine="720"/>
        <w:jc w:val="both"/>
      </w:pPr>
      <w:r>
        <w:rPr>
          <w:rFonts w:ascii="Times New Roman" w:cs="Times New Roman" w:eastAsia="Times New Roman" w:hAnsi="Times New Roman"/>
        </w:rPr>
        <w:t xml:space="preserve">OE4. Implementar los 23 controles de diseño definidos (CTRL-01 a CTRL-23), entre ellos el firewall de aplicaciones web, la autoprotección de la aplicación en tiempo de ejecución, el cifrado con llaves propias y el SIEM, y elaborar un plan de mitigación para el 100 % de los hallazgos confirmados, de forma que el riesgo residual verificado no contenga riesgos críticos y todo riesgo alto restante quede justificado y aceptado formalmente antes de la entrega final.</w:t>
      </w:r>
    </w:p>
    <w:p>
      <w:pPr>
        <w:spacing w:line="480" w:lineRule="auto" w:before="0" w:after="160"/>
        <w:ind w:firstLine="720"/>
        <w:jc w:val="both"/>
      </w:pPr>
      <w:r>
        <w:rPr>
          <w:rFonts w:ascii="Times New Roman" w:cs="Times New Roman" w:eastAsia="Times New Roman" w:hAnsi="Times New Roman"/>
        </w:rPr>
        <w:t xml:space="preserve">OE5. Elaborar el informe técnico en formato UMG y normas APA 7, con la matriz de calor de riesgo inherente y residual, la trazabilidad amenaza–control–prueba–evidencia–riesgo residual del 100 % de las amenazas y un dictamen fundamentado, y presentarlo con evidencias grabadas, sin demostración en vivo, en la entrega final.</w:t>
      </w:r>
    </w:p>
    <w:p>
      <w:pPr>
        <w:spacing w:line="480" w:lineRule="auto" w:before="0" w:after="160"/>
        <w:ind w:firstLine="720"/>
        <w:jc w:val="both"/>
      </w:pPr>
      <w:r>
        <w:rPr>
          <w:rFonts w:ascii="Times New Roman" w:cs="Times New Roman" w:eastAsia="Times New Roman" w:hAnsi="Times New Roman"/>
        </w:rPr>
        <w:t xml:space="preserve">La Tabla 2 traduce cada objetivo específico en un indicador medible, con su meta, su plazo y el componente de la rúbrica al que responde.</w:t>
      </w:r>
    </w:p>
    <w:p>
      <w:pPr>
        <w:keepNext/>
        <w:spacing w:before="0" w:line="480" w:lineRule="auto" w:after="160"/>
      </w:pPr>
      <w:r>
        <w:rPr>
          <w:rFonts w:ascii="Times New Roman" w:cs="Times New Roman" w:eastAsia="Times New Roman" w:hAnsi="Times New Roman"/>
          <w:b/>
          <w:bCs/>
          <w:sz w:val="24"/>
          <w:szCs w:val="24"/>
        </w:rPr>
        <w:t xml:space="preserve">Tabla 2</w:t>
      </w:r>
    </w:p>
    <w:p>
      <w:pPr>
        <w:keepNext/>
        <w:spacing w:after="160" w:line="480" w:lineRule="auto" w:before="0"/>
      </w:pPr>
      <w:r>
        <w:rPr>
          <w:rFonts w:ascii="Times New Roman" w:cs="Times New Roman" w:eastAsia="Times New Roman" w:hAnsi="Times New Roman"/>
          <w:i/>
          <w:iCs/>
          <w:sz w:val="24"/>
          <w:szCs w:val="24"/>
        </w:rPr>
        <w:t xml:space="preserve">Indicadores SMART de los objetivos específicos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2150"/>
        <w:gridCol w:w="2560"/>
        <w:gridCol w:w="1500"/>
        <w:gridCol w:w="2200"/>
      </w:tblGrid>
      <w:tr>
        <w:trPr>
          <w:tblHeader/>
        </w:trPr>
        <w:tc>
          <w:tcPr>
            <w:tcW w:type="dxa" w:w="95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360" w:lineRule="auto" w:before="0" w:after="0"/>
            </w:pPr>
            <w:r>
              <w:rPr>
                <w:rFonts w:ascii="Times New Roman" w:cs="Times New Roman" w:eastAsia="Times New Roman" w:hAnsi="Times New Roman"/>
                <w:b/>
                <w:bCs/>
                <w:sz w:val="20"/>
                <w:szCs w:val="20"/>
              </w:rPr>
              <w:t xml:space="preserve">OE</w:t>
            </w:r>
          </w:p>
        </w:tc>
        <w:tc>
          <w:tcPr>
            <w:tcW w:type="dxa" w:w="215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360" w:lineRule="auto" w:before="0" w:after="0"/>
            </w:pPr>
            <w:r>
              <w:rPr>
                <w:rFonts w:ascii="Times New Roman" w:cs="Times New Roman" w:eastAsia="Times New Roman" w:hAnsi="Times New Roman"/>
                <w:b/>
                <w:bCs/>
                <w:sz w:val="20"/>
                <w:szCs w:val="20"/>
              </w:rPr>
              <w:t xml:space="preserve">Indicador</w:t>
            </w:r>
          </w:p>
        </w:tc>
        <w:tc>
          <w:tcPr>
            <w:tcW w:type="dxa" w:w="256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360" w:lineRule="auto" w:before="0" w:after="0"/>
            </w:pPr>
            <w:r>
              <w:rPr>
                <w:rFonts w:ascii="Times New Roman" w:cs="Times New Roman" w:eastAsia="Times New Roman" w:hAnsi="Times New Roman"/>
                <w:b/>
                <w:bCs/>
                <w:sz w:val="20"/>
                <w:szCs w:val="20"/>
              </w:rPr>
              <w:t xml:space="preserve">Meta</w:t>
            </w:r>
          </w:p>
        </w:tc>
        <w:tc>
          <w:tcPr>
            <w:tcW w:type="dxa" w:w="150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360" w:lineRule="auto" w:before="0" w:after="0"/>
            </w:pPr>
            <w:r>
              <w:rPr>
                <w:rFonts w:ascii="Times New Roman" w:cs="Times New Roman" w:eastAsia="Times New Roman" w:hAnsi="Times New Roman"/>
                <w:b/>
                <w:bCs/>
                <w:sz w:val="20"/>
                <w:szCs w:val="20"/>
              </w:rPr>
              <w:t xml:space="preserve">Plazo</w:t>
            </w:r>
          </w:p>
        </w:tc>
        <w:tc>
          <w:tcPr>
            <w:tcW w:type="dxa" w:w="220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360" w:lineRule="auto" w:before="0" w:after="0"/>
            </w:pPr>
            <w:r>
              <w:rPr>
                <w:rFonts w:ascii="Times New Roman" w:cs="Times New Roman" w:eastAsia="Times New Roman" w:hAnsi="Times New Roman"/>
                <w:b/>
                <w:bCs/>
                <w:sz w:val="20"/>
                <w:szCs w:val="20"/>
              </w:rPr>
              <w:t xml:space="preserve">Componente de la rúbrica</w:t>
            </w:r>
          </w:p>
        </w:tc>
      </w:tr>
      <w:tr>
        <w:trPr>
          <w:cantSplit/>
        </w:trPr>
        <w:tc>
          <w:tcPr>
            <w:tcW w:type="dxa" w:w="9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OE1</w:t>
            </w:r>
          </w:p>
        </w:tc>
        <w:tc>
          <w:tcPr>
            <w:tcW w:type="dxa" w:w="21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Activos inventariados y amenazas valoradas</w:t>
            </w:r>
          </w:p>
        </w:tc>
        <w:tc>
          <w:tcPr>
            <w:tcW w:type="dxa" w:w="2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 25 activos en 6 tipos; 100 % de amenazas con DREAD y P×I; 7 capas cubiertas</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17-oct-2026</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Análisis de Riesgos y Activos</w:t>
            </w:r>
          </w:p>
        </w:tc>
      </w:tr>
      <w:tr>
        <w:trPr>
          <w:cantSplit/>
        </w:trPr>
        <w:tc>
          <w:tcPr>
            <w:tcW w:type="dxa" w:w="9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OE2</w:t>
            </w:r>
          </w:p>
        </w:tc>
        <w:tc>
          <w:tcPr>
            <w:tcW w:type="dxa" w:w="21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Hallazgos altos o críticos abiertos en la rama principal</w:t>
            </w:r>
          </w:p>
        </w:tc>
        <w:tc>
          <w:tcPr>
            <w:tcW w:type="dxa" w:w="2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0 sin justificar; flujo con SAST, SCA, secretos e IaC</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Entrega final</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Arquitectura Cloud y DevSecOps</w:t>
            </w:r>
          </w:p>
        </w:tc>
      </w:tr>
      <w:tr>
        <w:trPr>
          <w:cantSplit/>
        </w:trPr>
        <w:tc>
          <w:tcPr>
            <w:tcW w:type="dxa" w:w="9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OE3</w:t>
            </w:r>
          </w:p>
        </w:tc>
        <w:tc>
          <w:tcPr>
            <w:tcW w:type="dxa" w:w="21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Casos de abuso con evidencia de bloqueo</w:t>
            </w:r>
          </w:p>
        </w:tc>
        <w:tc>
          <w:tcPr>
            <w:tcW w:type="dxa" w:w="2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13 de 13 (100 %)</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Entrega final</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Implementación de Ciberdefensa</w:t>
            </w:r>
          </w:p>
        </w:tc>
      </w:tr>
      <w:tr>
        <w:trPr>
          <w:cantSplit/>
        </w:trPr>
        <w:tc>
          <w:tcPr>
            <w:tcW w:type="dxa" w:w="9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OE4</w:t>
            </w:r>
          </w:p>
        </w:tc>
        <w:tc>
          <w:tcPr>
            <w:tcW w:type="dxa" w:w="21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Riesgo residual verificado</w:t>
            </w:r>
          </w:p>
        </w:tc>
        <w:tc>
          <w:tcPr>
            <w:tcW w:type="dxa" w:w="2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0 críticos; altos solo con aceptación justificada; 100 % de hallazgos con plan</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Entrega final</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Implementación de Ciberseguridad</w:t>
            </w:r>
          </w:p>
        </w:tc>
      </w:tr>
      <w:tr>
        <w:trPr>
          <w:cantSplit/>
        </w:trPr>
        <w:tc>
          <w:tcPr>
            <w:tcW w:type="dxa" w:w="95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OE5</w:t>
            </w:r>
          </w:p>
        </w:tc>
        <w:tc>
          <w:tcPr>
            <w:tcW w:type="dxa" w:w="215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Amenazas con trazabilidad completa</w:t>
            </w:r>
          </w:p>
        </w:tc>
        <w:tc>
          <w:tcPr>
            <w:tcW w:type="dxa" w:w="25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100 %; informe en formato UMG y APA 7</w:t>
            </w:r>
          </w:p>
        </w:tc>
        <w:tc>
          <w:tcPr>
            <w:tcW w:type="dxa" w:w="15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Entrega final</w:t>
            </w:r>
          </w:p>
        </w:tc>
        <w:tc>
          <w:tcPr>
            <w:tcW w:type="dxa" w:w="22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Informe Técnico y APA</w:t>
            </w:r>
          </w:p>
        </w:tc>
      </w:tr>
    </w:tbl>
    <w:p>
      <w:pPr>
        <w:spacing w:after="160" w:before="0" w:line="480" w:lineRule="auto"/>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Los objetivos son alcanzables porque todas las herramientas son gratuitas o de código abierto y la infraestructura se ajusta al plan gratuito de AWS; son relevantes porque cada uno corresponde a un componente de la rúbrica del curso. El plazo de OE2 a OE5 es la entrega final del curso, cuya fecha aún no ha sido publicada.</w:t>
      </w:r>
    </w:p>
    <w:p>
      <w:pPr>
        <w:pStyle w:val="Heading2"/>
        <w:keepNext/>
        <w:keepLines/>
        <w:spacing w:before="0" w:after="160" w:line="480" w:lineRule="auto"/>
        <w:jc w:val="left"/>
        <w:outlineLvl w:val="1"/>
      </w:pPr>
      <w:r>
        <w:t>1.3 Alcance</w:t>
      </w:r>
    </w:p>
    <w:p>
      <w:pPr>
        <w:spacing w:line="480" w:lineRule="auto" w:before="0" w:after="160"/>
        <w:ind w:firstLine="720"/>
        <w:jc w:val="both"/>
      </w:pPr>
      <w:r>
        <w:rPr>
          <w:rFonts w:ascii="Times New Roman" w:cs="Times New Roman" w:eastAsia="Times New Roman" w:hAnsi="Times New Roman"/>
        </w:rPr>
        <w:t xml:space="preserve">El alcance comprende la aplicación móvil, los servicios en la nube que la soportan y el flujo de desarrollo que los construye y despliega. La Tabla 3 detalla los componentes incluidos y la Tabla 4, los excluidos con su justificación.</w:t>
      </w:r>
    </w:p>
    <w:p>
      <w:pPr>
        <w:keepNext/>
        <w:spacing w:before="0" w:line="480" w:lineRule="auto" w:after="160"/>
      </w:pPr>
      <w:r>
        <w:rPr>
          <w:rFonts w:ascii="Times New Roman" w:cs="Times New Roman" w:eastAsia="Times New Roman" w:hAnsi="Times New Roman"/>
          <w:b/>
          <w:bCs/>
          <w:sz w:val="24"/>
          <w:szCs w:val="24"/>
        </w:rPr>
        <w:t xml:space="preserve">Tabla 3</w:t>
      </w:r>
    </w:p>
    <w:p>
      <w:pPr>
        <w:keepNext/>
        <w:spacing w:after="160" w:line="480" w:lineRule="auto" w:before="0"/>
      </w:pPr>
      <w:r>
        <w:rPr>
          <w:rFonts w:ascii="Times New Roman" w:cs="Times New Roman" w:eastAsia="Times New Roman" w:hAnsi="Times New Roman"/>
          <w:i/>
          <w:iCs/>
          <w:sz w:val="24"/>
          <w:szCs w:val="24"/>
        </w:rPr>
        <w:t xml:space="preserve">Componentes dentro del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360" w:lineRule="auto" w:before="0" w:after="0"/>
            </w:pPr>
            <w:r>
              <w:rPr>
                <w:rFonts w:ascii="Times New Roman" w:cs="Times New Roman" w:eastAsia="Times New Roman" w:hAnsi="Times New Roman"/>
                <w:b/>
                <w:bCs/>
                <w:sz w:val="20"/>
                <w:szCs w:val="20"/>
              </w:rPr>
              <w:t xml:space="preserve">Componente</w:t>
            </w:r>
          </w:p>
        </w:tc>
        <w:tc>
          <w:tcPr>
            <w:tcW w:type="dxa" w:w="716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360" w:lineRule="auto" w:before="0" w:after="0"/>
            </w:pPr>
            <w:r>
              <w:rPr>
                <w:rFonts w:ascii="Times New Roman" w:cs="Times New Roman" w:eastAsia="Times New Roman" w:hAnsi="Times New Roman"/>
                <w:b/>
                <w:bCs/>
                <w:sz w:val="20"/>
                <w:szCs w:val="20"/>
              </w:rPr>
              <w:t xml:space="preserve">Descripción</w:t>
            </w:r>
          </w:p>
        </w:tc>
      </w:tr>
      <w:tr>
        <w:trPr>
          <w:cantSplit/>
        </w:trP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Aplicación móvil</w:t>
            </w:r>
          </w:p>
        </w:tc>
        <w:tc>
          <w:tcPr>
            <w:tcW w:type="dxa" w:w="7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Q-Wallet para Android, desarrollada en React Native con Expo y TypeScript, con almacenamiento seguro en Android Keystore, autenticación biométrica, fijación de certificados y autoprotección en tiempo de ejecución.</w:t>
            </w:r>
          </w:p>
        </w:tc>
      </w:tr>
      <w:tr>
        <w:trPr>
          <w:cantSplit/>
        </w:trP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Servicios de negocio</w:t>
            </w:r>
          </w:p>
        </w:tc>
        <w:tc>
          <w:tcPr>
            <w:tcW w:type="dxa" w:w="7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Cinco microservicios en AWS Lambda (perfil, cuentas, transferencias, presupuestos y administración), empaquetados como imágenes de contenedor.</w:t>
            </w:r>
          </w:p>
        </w:tc>
      </w:tr>
      <w:tr>
        <w:trPr>
          <w:cantSplit/>
        </w:trP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Perímetro en la nube</w:t>
            </w:r>
          </w:p>
        </w:tc>
        <w:tc>
          <w:tcPr>
            <w:tcW w:type="dxa" w:w="7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Amazon API Gateway REST con autorizador de Amazon Cognito, limitación de solicitudes y AWS WAF.</w:t>
            </w:r>
          </w:p>
        </w:tc>
      </w:tr>
      <w:tr>
        <w:trPr>
          <w:cantSplit/>
        </w:trP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Identidad</w:t>
            </w:r>
          </w:p>
        </w:tc>
        <w:tc>
          <w:tcPr>
            <w:tcW w:type="dxa" w:w="7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Amazon Cognito: OAuth 2.0 con PKCE, segundo factor TOTP y grupo de administradores.</w:t>
            </w:r>
          </w:p>
        </w:tc>
      </w:tr>
      <w:tr>
        <w:trPr>
          <w:cantSplit/>
        </w:trP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Datos y secretos</w:t>
            </w:r>
          </w:p>
        </w:tc>
        <w:tc>
          <w:tcPr>
            <w:tcW w:type="dxa" w:w="7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Amazon DynamoDB y Amazon S3 cifrados con una llave KMS propia; secretos en SSM Parameter Store.</w:t>
            </w:r>
          </w:p>
        </w:tc>
      </w:tr>
      <w:tr>
        <w:trPr>
          <w:cantSplit/>
        </w:trP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Registro y monitoreo</w:t>
            </w:r>
          </w:p>
        </w:tc>
        <w:tc>
          <w:tcPr>
            <w:tcW w:type="dxa" w:w="7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Amazon CloudWatch Logs y AWS CloudTrail hacia S3, analizados con el SIEM Wazuh en un equipo local.</w:t>
            </w:r>
          </w:p>
        </w:tc>
      </w:tr>
      <w:tr>
        <w:trPr>
          <w:cantSplit/>
        </w:trPr>
        <w:tc>
          <w:tcPr>
            <w:tcW w:type="dxa" w:w="22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Flujo DevSecOps</w:t>
            </w:r>
          </w:p>
        </w:tc>
        <w:tc>
          <w:tcPr>
            <w:tcW w:type="dxa" w:w="71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Repositorio público en GitHub, GitHub Actions con despliegue a AWS por OIDC, infraestructura en Terraform y análisis automáticos de seguridad.</w:t>
            </w:r>
          </w:p>
        </w:tc>
      </w:tr>
    </w:tbl>
    <w:p>
      <w:pPr>
        <w:spacing w:after="160" w:before="0" w:line="480" w:lineRule="auto"/>
      </w:pPr>
    </w:p>
    <w:p>
      <w:pPr>
        <w:keepNext/>
        <w:spacing w:before="0" w:line="480" w:lineRule="auto" w:after="160"/>
      </w:pPr>
      <w:r>
        <w:rPr>
          <w:rFonts w:ascii="Times New Roman" w:cs="Times New Roman" w:eastAsia="Times New Roman" w:hAnsi="Times New Roman"/>
          <w:b/>
          <w:bCs/>
          <w:sz w:val="24"/>
          <w:szCs w:val="24"/>
        </w:rPr>
        <w:t xml:space="preserve">Tabla 4</w:t>
      </w:r>
    </w:p>
    <w:p>
      <w:pPr>
        <w:keepNext/>
        <w:spacing w:after="160" w:line="480" w:lineRule="auto" w:before="0"/>
      </w:pPr>
      <w:r>
        <w:rPr>
          <w:rFonts w:ascii="Times New Roman" w:cs="Times New Roman" w:eastAsia="Times New Roman" w:hAnsi="Times New Roman"/>
          <w:i/>
          <w:iCs/>
          <w:sz w:val="24"/>
          <w:szCs w:val="24"/>
        </w:rPr>
        <w:t xml:space="preserve">Elementos fuera del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360" w:lineRule="auto" w:before="0" w:after="0"/>
            </w:pPr>
            <w:r>
              <w:rPr>
                <w:rFonts w:ascii="Times New Roman" w:cs="Times New Roman" w:eastAsia="Times New Roman" w:hAnsi="Times New Roman"/>
                <w:b/>
                <w:bCs/>
                <w:sz w:val="20"/>
                <w:szCs w:val="20"/>
              </w:rPr>
              <w:t xml:space="preserve">Elemento</w:t>
            </w:r>
          </w:p>
        </w:tc>
        <w:tc>
          <w:tcPr>
            <w:tcW w:type="dxa" w:w="656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360" w:lineRule="auto" w:before="0" w:after="0"/>
            </w:pPr>
            <w:r>
              <w:rPr>
                <w:rFonts w:ascii="Times New Roman" w:cs="Times New Roman" w:eastAsia="Times New Roman" w:hAnsi="Times New Roman"/>
                <w:b/>
                <w:bCs/>
                <w:sz w:val="20"/>
                <w:szCs w:val="20"/>
              </w:rPr>
              <w:t xml:space="preserve">Motivo</w:t>
            </w:r>
          </w:p>
        </w:tc>
      </w:tr>
      <w:tr>
        <w:trPr>
          <w:cantSplit/>
        </w:trPr>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iOS y versión web</w:t>
            </w:r>
          </w:p>
        </w:tc>
        <w:tc>
          <w:tcPr>
            <w:tcW w:type="dxa" w:w="6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Se prioriza una sola plataforma para profundizar en las pruebas de seguridad móviles.</w:t>
            </w:r>
          </w:p>
        </w:tc>
      </w:tr>
      <w:tr>
        <w:trPr>
          <w:cantSplit/>
        </w:trPr>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Dinero, tarjetas y bancos reales</w:t>
            </w:r>
          </w:p>
        </w:tc>
        <w:tc>
          <w:tcPr>
            <w:tcW w:type="dxa" w:w="6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El proyecto es académico; se usa dinero simulado y no se procesan datos de tarjetas.</w:t>
            </w:r>
          </w:p>
        </w:tc>
      </w:tr>
      <w:tr>
        <w:trPr>
          <w:cantSplit/>
        </w:trPr>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Verificación de identidad (KYC) real</w:t>
            </w:r>
          </w:p>
        </w:tc>
        <w:tc>
          <w:tcPr>
            <w:tcW w:type="dxa" w:w="6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Requiere integraciones y datos personales reales; se documenta como requisito para una puesta en producción.</w:t>
            </w:r>
          </w:p>
        </w:tc>
      </w:tr>
      <w:tr>
        <w:trPr>
          <w:cantSplit/>
        </w:trPr>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Pruebas de denegación de servicio</w:t>
            </w:r>
          </w:p>
        </w:tc>
        <w:tc>
          <w:tcPr>
            <w:tcW w:type="dxa" w:w="6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La política de AWS prohíbe la denegación de servicio y la inundación de solicitudes, incluso simulada (AWS, s. f.-b).</w:t>
            </w:r>
          </w:p>
        </w:tc>
      </w:tr>
      <w:tr>
        <w:trPr>
          <w:cantSplit/>
        </w:trPr>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Pruebas sobre servicios de AWS en sí</w:t>
            </w:r>
          </w:p>
        </w:tc>
        <w:tc>
          <w:tcPr>
            <w:tcW w:type="dxa" w:w="6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AWS no permite evaluar su propia infraestructura; se prueban solo nuestros recursos en los servicios autorizados (AWS, s. f.-b).</w:t>
            </w:r>
          </w:p>
        </w:tc>
      </w:tr>
      <w:tr>
        <w:trPr>
          <w:cantSplit/>
        </w:trPr>
        <w:tc>
          <w:tcPr>
            <w:tcW w:type="dxa" w:w="28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Ingeniería social y seguridad física</w:t>
            </w:r>
          </w:p>
        </w:tc>
        <w:tc>
          <w:tcPr>
            <w:tcW w:type="dxa" w:w="65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Fuera de los objetivos del curso; se tratan como riesgos en la capa de políticas y en la capa física.</w:t>
            </w:r>
          </w:p>
        </w:tc>
      </w:tr>
    </w:tbl>
    <w:p>
      <w:pPr>
        <w:spacing w:after="160" w:before="0" w:line="480" w:lineRule="auto"/>
      </w:pPr>
    </w:p>
    <w:p>
      <w:pPr>
        <w:pStyle w:val="Heading3"/>
        <w:keepNext/>
        <w:keepLines/>
        <w:spacing w:before="0" w:after="160" w:line="480" w:lineRule="auto"/>
        <w:jc w:val="left"/>
        <w:outlineLvl w:val="2"/>
      </w:pPr>
      <w:r>
        <w:t>Enfoque seguro desde el diseño</w:t>
      </w:r>
    </w:p>
    <w:p>
      <w:pPr>
        <w:spacing w:line="480" w:lineRule="auto" w:before="0" w:after="160"/>
        <w:ind w:firstLine="720"/>
        <w:jc w:val="both"/>
      </w:pPr>
      <w:r>
        <w:rPr>
          <w:rFonts w:ascii="Times New Roman" w:cs="Times New Roman" w:eastAsia="Times New Roman" w:hAnsi="Times New Roman"/>
        </w:rPr>
        <w:t xml:space="preserve">Adoptamos el proceso de gestión de riesgos de ISO/IEC 27005:2022 (International Organization for Standardization [ISO] e International Electrotechnical Commission [IEC], 2022b) para comparar dos momentos. El estado anterior corresponde al riesgo inherente: el riesgo de cada amenaza STRIDE calculado como si no existiera ningún control. El estado posterior corresponde al riesgo residual: el riesgo que permanece con los controles implementados y verificados mediante pruebas. Cada amenaza identificada en esta entrega debe cerrar con la secuencia amenaza, control, caso de prueba, evidencia y riesgo residual. Cualquier debilidad real que detecten las herramientas de análisis se registra como hallazgo y se corrige.</w:t>
      </w:r>
    </w:p>
    <w:p>
      <w:pPr>
        <w:pStyle w:val="Heading3"/>
        <w:keepNext/>
        <w:keepLines/>
        <w:spacing w:before="0" w:after="160" w:line="480" w:lineRule="auto"/>
        <w:jc w:val="left"/>
        <w:outlineLvl w:val="2"/>
      </w:pPr>
      <w:r>
        <w:t>Restricciones</w:t>
      </w:r>
    </w:p>
    <w:p>
      <w:pPr>
        <w:spacing w:line="480" w:lineRule="auto" w:before="0" w:after="160"/>
        <w:ind w:firstLine="720"/>
        <w:jc w:val="both"/>
      </w:pPr>
      <w:r>
        <w:rPr>
          <w:rFonts w:ascii="Times New Roman" w:cs="Times New Roman" w:eastAsia="Times New Roman" w:hAnsi="Times New Roman"/>
        </w:rPr>
        <w:t xml:space="preserve">La Tabla 5 resume las restricciones del proyecto y el efecto de cada una en el diseño y en las pruebas.</w:t>
      </w:r>
    </w:p>
    <w:p>
      <w:pPr>
        <w:keepNext/>
        <w:spacing w:before="0" w:line="480" w:lineRule="auto" w:after="160"/>
      </w:pPr>
      <w:r>
        <w:rPr>
          <w:rFonts w:ascii="Times New Roman" w:cs="Times New Roman" w:eastAsia="Times New Roman" w:hAnsi="Times New Roman"/>
          <w:b/>
          <w:bCs/>
          <w:sz w:val="24"/>
          <w:szCs w:val="24"/>
        </w:rPr>
        <w:t xml:space="preserve">Tabla 5</w:t>
      </w:r>
    </w:p>
    <w:p>
      <w:pPr>
        <w:keepNext/>
        <w:spacing w:after="160" w:line="480" w:lineRule="auto" w:before="0"/>
      </w:pPr>
      <w:r>
        <w:rPr>
          <w:rFonts w:ascii="Times New Roman" w:cs="Times New Roman" w:eastAsia="Times New Roman" w:hAnsi="Times New Roman"/>
          <w:i/>
          <w:iCs/>
          <w:sz w:val="24"/>
          <w:szCs w:val="24"/>
        </w:rPr>
        <w:t xml:space="preserve">Restricciones del proyecto y su 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360" w:lineRule="auto" w:before="0" w:after="0"/>
            </w:pPr>
            <w:r>
              <w:rPr>
                <w:rFonts w:ascii="Times New Roman" w:cs="Times New Roman" w:eastAsia="Times New Roman" w:hAnsi="Times New Roman"/>
                <w:b/>
                <w:bCs/>
                <w:sz w:val="20"/>
                <w:szCs w:val="20"/>
              </w:rPr>
              <w:t xml:space="preserve">Restricción</w:t>
            </w:r>
          </w:p>
        </w:tc>
        <w:tc>
          <w:tcPr>
            <w:tcW w:type="dxa" w:w="616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360" w:lineRule="auto" w:before="0" w:after="0"/>
            </w:pPr>
            <w:r>
              <w:rPr>
                <w:rFonts w:ascii="Times New Roman" w:cs="Times New Roman" w:eastAsia="Times New Roman" w:hAnsi="Times New Roman"/>
                <w:b/>
                <w:bCs/>
                <w:sz w:val="20"/>
                <w:szCs w:val="20"/>
              </w:rPr>
              <w:t xml:space="preserve">Efecto en el proyecto</w:t>
            </w:r>
          </w:p>
        </w:tc>
      </w:tr>
      <w:tr>
        <w:trPr>
          <w:cantSplit/>
        </w:trP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Costo cercano a cero (plan gratuito de AWS, alerta de presupuesto en US$5)</w:t>
            </w:r>
          </w:p>
        </w:tc>
        <w:tc>
          <w:tcPr>
            <w:tcW w:type="dxa" w:w="6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Se excluyen servicios de costo fijo (RDS, NAT Gateway, EC2 permanente, EKS, Shield Advanced). AWS WAF se activa solo durante las ventanas de prueba.</w:t>
            </w:r>
          </w:p>
        </w:tc>
      </w:tr>
      <w:tr>
        <w:trPr>
          <w:cantSplit/>
        </w:trP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Sin dominio propio</w:t>
            </w:r>
          </w:p>
        </w:tc>
        <w:tc>
          <w:tcPr>
            <w:tcW w:type="dxa" w:w="6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Se usa el punto de acceso por defecto de API Gateway (execute-api), sin certificado propio. Le asignamos una política de seguridad que negocia TLS 1.3 y mantiene TLS 1.2 solo como respaldo para dispositivos antiguos.</w:t>
            </w:r>
          </w:p>
        </w:tc>
      </w:tr>
      <w:tr>
        <w:trPr>
          <w:cantSplit/>
        </w:trP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Política de pruebas de penetración de AWS</w:t>
            </w:r>
          </w:p>
        </w:tc>
        <w:tc>
          <w:tcPr>
            <w:tcW w:type="dxa" w:w="6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Solo se prueban servicios autorizados, como API Gateway, Lambda y WAF. Amazon Cognito no figura en esa lista, por lo que su inicio de sesión administrado no se ataca directamente. Las pruebas de limitación de solicitudes y de bloqueo del PIN se hacen con ráfagas cortas contra umbrales bajos, sin inundar el servicio (AWS, s. f.-b).</w:t>
            </w:r>
          </w:p>
        </w:tc>
      </w:tr>
      <w:tr>
        <w:trPr>
          <w:cantSplit/>
        </w:trP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Presentación sin demostración en vivo</w:t>
            </w:r>
          </w:p>
        </w:tc>
        <w:tc>
          <w:tcPr>
            <w:tcW w:type="dxa" w:w="6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Toda prueba debe quedar respaldada con captura o video identificado como evidencia (EVD).</w:t>
            </w:r>
          </w:p>
        </w:tc>
      </w:tr>
      <w:tr>
        <w:trPr>
          <w:cantSplit/>
        </w:trP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Equipo de tres integrantes y calendario académico</w:t>
            </w:r>
          </w:p>
        </w:tc>
        <w:tc>
          <w:tcPr>
            <w:tcW w:type="dxa" w:w="6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Se priorizan los controles con mayor reducción de riesgo y se automatizan los análisis en el flujo de integración continua.</w:t>
            </w:r>
          </w:p>
        </w:tc>
      </w:tr>
      <w:tr>
        <w:trPr>
          <w:cantSplit/>
        </w:trPr>
        <w:tc>
          <w:tcPr>
            <w:tcW w:type="dxa" w:w="32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Datos simulados</w:t>
            </w:r>
          </w:p>
        </w:tc>
        <w:tc>
          <w:tcPr>
            <w:tcW w:type="dxa" w:w="61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No se tratan datos personales reales; los números de DPI y de teléfono son ficticios.</w:t>
            </w:r>
          </w:p>
        </w:tc>
      </w:tr>
    </w:tbl>
    <w:p>
      <w:pPr>
        <w:spacing w:after="160" w:before="0" w:line="480" w:lineRule="auto"/>
      </w:pPr>
    </w:p>
    <w:p>
      <w:pPr>
        <w:pStyle w:val="Heading2"/>
        <w:keepNext/>
        <w:keepLines/>
        <w:spacing w:before="0" w:after="160" w:line="480" w:lineRule="auto"/>
        <w:jc w:val="left"/>
        <w:outlineLvl w:val="1"/>
      </w:pPr>
      <w:r>
        <w:t>1.4 Normativas y estándares de referencia</w:t>
      </w:r>
    </w:p>
    <w:p>
      <w:pPr>
        <w:spacing w:line="480" w:lineRule="auto" w:before="0" w:after="160"/>
        <w:ind w:firstLine="720"/>
        <w:jc w:val="both"/>
      </w:pPr>
      <w:r>
        <w:rPr>
          <w:rFonts w:ascii="Times New Roman" w:cs="Times New Roman" w:eastAsia="Times New Roman" w:hAnsi="Times New Roman"/>
        </w:rPr>
        <w:t xml:space="preserve">La Tabla 6 resume las normas y estándares que guían el proyecto, qué regula cada uno y cómo lo aplicamos en Q-Wallet.</w:t>
      </w:r>
    </w:p>
    <w:p>
      <w:pPr>
        <w:keepNext/>
        <w:spacing w:before="0" w:line="480" w:lineRule="auto" w:after="160"/>
      </w:pPr>
      <w:r>
        <w:rPr>
          <w:rFonts w:ascii="Times New Roman" w:cs="Times New Roman" w:eastAsia="Times New Roman" w:hAnsi="Times New Roman"/>
          <w:b/>
          <w:bCs/>
          <w:sz w:val="24"/>
          <w:szCs w:val="24"/>
        </w:rPr>
        <w:t xml:space="preserve">Tabla 6</w:t>
      </w:r>
    </w:p>
    <w:p>
      <w:pPr>
        <w:keepNext/>
        <w:spacing w:after="160" w:line="480" w:lineRule="auto" w:before="0"/>
      </w:pPr>
      <w:r>
        <w:rPr>
          <w:rFonts w:ascii="Times New Roman" w:cs="Times New Roman" w:eastAsia="Times New Roman" w:hAnsi="Times New Roman"/>
          <w:i/>
          <w:iCs/>
          <w:sz w:val="24"/>
          <w:szCs w:val="24"/>
        </w:rPr>
        <w:t xml:space="preserve">Normas y estándares aplicados en Q-Wallet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760"/>
      </w:tblGrid>
      <w:tr>
        <w:trPr>
          <w:tblHeader/>
        </w:trPr>
        <w:tc>
          <w:tcPr>
            <w:tcW w:type="dxa" w:w="250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360" w:lineRule="auto" w:before="0" w:after="0"/>
            </w:pPr>
            <w:r>
              <w:rPr>
                <w:rFonts w:ascii="Times New Roman" w:cs="Times New Roman" w:eastAsia="Times New Roman" w:hAnsi="Times New Roman"/>
                <w:b/>
                <w:bCs/>
                <w:sz w:val="20"/>
                <w:szCs w:val="20"/>
              </w:rPr>
              <w:t xml:space="preserve">Norma o estándar</w:t>
            </w:r>
          </w:p>
        </w:tc>
        <w:tc>
          <w:tcPr>
            <w:tcW w:type="dxa" w:w="310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360" w:lineRule="auto" w:before="0" w:after="0"/>
            </w:pPr>
            <w:r>
              <w:rPr>
                <w:rFonts w:ascii="Times New Roman" w:cs="Times New Roman" w:eastAsia="Times New Roman" w:hAnsi="Times New Roman"/>
                <w:b/>
                <w:bCs/>
                <w:sz w:val="20"/>
                <w:szCs w:val="20"/>
              </w:rPr>
              <w:t xml:space="preserve">Qué regula</w:t>
            </w:r>
          </w:p>
        </w:tc>
        <w:tc>
          <w:tcPr>
            <w:tcW w:type="dxa" w:w="3760"/>
            <w:tcBorders>
              <w:top w:val="single" w:color="000000" w:sz="6"/>
              <w:left w:val="none" w:color="FFFFFF" w:sz="0"/>
              <w:bottom w:val="single" w:color="000000" w:sz="6"/>
              <w:right w:val="none" w:color="FFFFFF" w:sz="0"/>
            </w:tcBorders>
            <w:shd w:fill="F2F2F2" w:color="auto" w:val="clear"/>
            <w:tcMar>
              <w:top w:type="dxa" w:w="60"/>
              <w:left w:type="dxa" w:w="100"/>
              <w:bottom w:type="dxa" w:w="60"/>
              <w:right w:type="dxa" w:w="100"/>
            </w:tcMar>
          </w:tcPr>
          <w:p>
            <w:pPr>
              <w:spacing w:line="360" w:lineRule="auto" w:before="0" w:after="0"/>
            </w:pPr>
            <w:r>
              <w:rPr>
                <w:rFonts w:ascii="Times New Roman" w:cs="Times New Roman" w:eastAsia="Times New Roman" w:hAnsi="Times New Roman"/>
                <w:b/>
                <w:bCs/>
                <w:sz w:val="20"/>
                <w:szCs w:val="20"/>
              </w:rPr>
              <w:t xml:space="preserve">Cómo se aplica en Q-Wallet</w:t>
            </w:r>
          </w:p>
        </w:tc>
      </w:tr>
      <w:tr>
        <w:trPr>
          <w:cantSplit/>
        </w:trP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ISO/IEC 27001:2022 (ISO e IEC, 2022a)</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Requisitos de un sistema de gestión de seguridad de la información y controles del Anexo A.</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Inventario de activos, clasificación de la información y selección de controles (por ejemplo, criptografía y registro de eventos).</w:t>
            </w:r>
          </w:p>
        </w:tc>
      </w:tr>
      <w:tr>
        <w:trPr>
          <w:cantSplit/>
        </w:trP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ISO/IEC 27005:2022 (ISO e IEC, 2022b)</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Guía para gestionar riesgos de seguridad de la información.</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Proceso de identificación, análisis, evaluación y tratamiento; comparación de riesgo inherente y residual.</w:t>
            </w:r>
          </w:p>
        </w:tc>
      </w:tr>
      <w:tr>
        <w:trPr>
          <w:cantSplit/>
        </w:trP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OWASP MASVS v2.1.0 y MASTG (OWASP Mobile Application Security Project, 2024)</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Requisitos y pruebas de seguridad para aplicaciones móviles en ocho categorías, incluida la privacidad.</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Requisitos de almacenamiento, red, autenticación, resiliencia y privacidad de la aplicación Android y guía de las pruebas móviles.</w:t>
            </w:r>
          </w:p>
        </w:tc>
      </w:tr>
      <w:tr>
        <w:trPr>
          <w:cantSplit/>
        </w:trP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OWASP API Security Top 10 2023 (OWASP Foundation, 2023)</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Riesgos más críticos de las API.</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Controles de autorización por objeto y por función, exposición de datos, consumo de recursos y lógica de negocio en los cinco servicios.</w:t>
            </w:r>
          </w:p>
        </w:tc>
      </w:tr>
      <w:tr>
        <w:trPr>
          <w:cantSplit/>
        </w:trP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OWASP Top 10:2025 (OWASP Foundation, 2025)</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Riesgos más críticos de las aplicaciones web.</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Referencia complementaria para el servidor, incluida la nueva categoría de fallas en la cadena de suministro de software.</w:t>
            </w:r>
          </w:p>
        </w:tc>
      </w:tr>
      <w:tr>
        <w:trPr>
          <w:cantSplit/>
        </w:trP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STRIDE (Shostack, 2014)</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Clasificación de amenazas: suplantación, manipulación, repudio, divulgación, denegación de servicio y elevación de privilegios.</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Modelado de amenazas sobre los diagramas de flujo de datos, por elemento y por frontera de confianza.</w:t>
            </w:r>
          </w:p>
        </w:tc>
      </w:tr>
      <w:tr>
        <w:trPr>
          <w:cantSplit/>
        </w:trP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DREAD (Howard y LeBlanc, 2003)</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Valoración de amenazas por daño, reproducibilidad, explotabilidad, usuarios afectados y facilidad de descubrimiento.</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Puntaje de cada amenaza y conversión a probabilidad e impacto de la matriz 5×5.</w:t>
            </w:r>
          </w:p>
        </w:tc>
      </w:tr>
      <w:tr>
        <w:trPr>
          <w:cantSplit/>
        </w:trP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NIST CSF 2.0 (National Institute of Standards and Technology [NIST], 2024)</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Marco de gestión de riesgos de ciberseguridad con seis funciones: gobernar, identificar, proteger, detectar, responder y recuperar.</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Organización de los controles y de la detección y respuesta con el SIEM.</w:t>
            </w:r>
          </w:p>
        </w:tc>
      </w:tr>
      <w:tr>
        <w:trPr>
          <w:cantSplit/>
        </w:trP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PCI DSS v4.0.1 (PCI Security Standards Council, 2024)</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Seguridad de los datos de tarjetas de pago.</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Solo como referencia de buenas prácticas; Q-Wallet no procesa ni almacena tarjetas.</w:t>
            </w:r>
          </w:p>
        </w:tc>
      </w:tr>
      <w:tr>
        <w:trPr>
          <w:cantSplit/>
        </w:trP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Resolución JM-98-2025 (Junta Monetaria, 2025, como se citó en Carrillo &amp; Asociados, 2025)</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Administración del riesgo tecnológico en las entidades supervisadas por la SIB.</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Referencia para el gobierno del riesgo tecnológico, la ciberseguridad y la gestión de incidentes. Q-Wallet está diseñada con referencia a esta norma; no se afirma su cumplimiento.</w:t>
            </w:r>
          </w:p>
        </w:tc>
      </w:tr>
      <w:tr>
        <w:trPr>
          <w:cantSplit/>
        </w:trPr>
        <w:tc>
          <w:tcPr>
            <w:tcW w:type="dxa" w:w="25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Decreto 67-2001, Ley contra el Lavado de Dinero u Otros Activos (Congreso de la República de Guatemala, 2001)</w:t>
            </w:r>
          </w:p>
        </w:tc>
        <w:tc>
          <w:tcPr>
            <w:tcW w:type="dxa" w:w="31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Prevención del lavado de dinero; obligaciones de identificación de clientes y registro de operaciones.</w:t>
            </w:r>
          </w:p>
        </w:tc>
        <w:tc>
          <w:tcPr>
            <w:tcW w:type="dxa" w:w="37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360" w:lineRule="auto" w:before="0" w:after="0"/>
            </w:pPr>
            <w:r>
              <w:rPr>
                <w:rFonts w:ascii="Times New Roman" w:cs="Times New Roman" w:eastAsia="Times New Roman" w:hAnsi="Times New Roman"/>
                <w:b w:val="false"/>
                <w:bCs w:val="false"/>
                <w:sz w:val="20"/>
                <w:szCs w:val="20"/>
              </w:rPr>
              <w:t xml:space="preserve">Contexto de la verificación de identidad, que queda fuera del alcance; la auditoría y la trazabilidad de transferencias sirven de base para una implementación futura.</w:t>
            </w:r>
          </w:p>
        </w:tc>
      </w:tr>
    </w:tbl>
    <w:p>
      <w:pPr>
        <w:spacing w:after="160" w:before="0" w:line="480" w:lineRule="auto"/>
      </w:pPr>
    </w:p>
    <w:p>
      <w:pPr>
        <w:spacing w:line="480" w:lineRule="auto" w:before="0" w:after="160"/>
        <w:ind w:firstLine="720"/>
        <w:jc w:val="both"/>
      </w:pPr>
      <w:r>
        <w:rPr>
          <w:rFonts w:ascii="Times New Roman" w:cs="Times New Roman" w:eastAsia="Times New Roman" w:hAnsi="Times New Roman"/>
        </w:rPr>
        <w:t xml:space="preserve">Es necesario precisar el alcance de las normas guatemaltecas. La Resolución JM-98-2025, publicada en el Diario de Centro América el 30 de octubre de 2025, emitió un nuevo Reglamento para la Administración del Riesgo Tecnológico y derogó el de la Resolución JM-104-2021 (Carrillo &amp; Asociados, 2025). El Banco de Guatemala la incluye en su índice oficial de resoluciones de 2025, pero el archivo no pudo abrirse al redactar este informe, por lo que la citamos a partir de esa fuente secundaria. Esta resolución obliga a las entidades bajo la supervisión de la SIB; Q-Wallet, S.A. es una empresa ficticia que no está supervisada, por lo que usamos el reglamento como marco de referencia del diseño y no declaramos su cumplimiento, que solo podría establecerse mediante una evaluación formal. Determinar si una billetera de este tipo requeriría autorización de la SIB para operar con dinero real queda fuera del alcance de este proyecto, que usa dinero simulado.</w:t>
      </w:r>
    </w:p>
    <w:p>
      <w:pPr>
        <w:spacing w:line="480" w:lineRule="auto" w:before="0" w:after="160"/>
        <w:ind w:firstLine="720"/>
        <w:jc w:val="both"/>
      </w:pPr>
      <w:r>
        <w:rPr>
          <w:rFonts w:ascii="Times New Roman" w:cs="Times New Roman" w:eastAsia="Times New Roman" w:hAnsi="Times New Roman"/>
        </w:rPr>
        <w:t xml:space="preserve">En cuanto a datos personales, Guatemala no cuenta con una ley general de protección de datos aplicable al sector privado: la Ley de Acceso a la Información Pública, Decreto 57-2008, regula principalmente la información en poder del Estado (Congreso de la República de Guatemala, 2008). La iniciativa 6464, que propone una ley de protección de datos personales y garantía de derechos digitales, se presentó el 29 de octubre de 2024; en julio de 2026, la Comisión de Asuntos de Seguridad Nacional del Congreso continuaba su análisis y aún no había emitido dictamen (Emisoras Unidas, 2026). Al 15 de octubre de 2026 no encontramos noticia de un dictamen ni de su aprobación. Mientras no exista esa ley, adoptamos como referencia la categoría de privacidad de OWASP MASVS: minimizar los datos recolectados y enmascarar el DPI y el número de teléfono en las respuestas de la aplicación.</w:t>
      </w:r>
    </w:p>
    <w:p>
      <w:pPr>
        <w:pStyle w:val="Heading2"/>
        <w:keepNext/>
        <w:keepLines/>
        <w:spacing w:before="0" w:after="160" w:line="480" w:lineRule="auto"/>
        <w:jc w:val="left"/>
        <w:outlineLvl w:val="1"/>
      </w:pPr>
      <w:r>
        <w:t>1.5 Definición del scope técnico</w:t>
      </w:r>
    </w:p>
    <w:p>
      <w:pPr>
        <w:spacing w:after="160" w:line="480" w:lineRule="auto" w:before="0"/>
        <w:ind w:firstLine="720"/>
        <w:jc w:val="both"/>
      </w:pPr>
      <w:r>
        <w:rPr>
          <w:rFonts w:ascii="Times New Roman" w:cs="Times New Roman" w:eastAsia="Times New Roman" w:hAnsi="Times New Roman"/>
          <w:b w:val="false"/>
          <w:bCs w:val="false"/>
          <w:sz w:val="24"/>
          <w:szCs w:val="24"/>
        </w:rPr>
        <w:t xml:space="preserve">En esta sección delimitamos el alcance técnico sobre el que construimos y evaluaremos Q-Wallet. Describimos la arquitectura de la solución y ubicamos en ella los controles de seguridad, detallamos la superficie de la interfaz de programación de aplicaciones (API), las fronteras de confianza, las herramientas que usaremos en cada fase del ciclo de vida de desarrollo de software seguro (SSDLC) y las reglas de enfrentamiento que regirán las pruebas de intrusión. El propósito es que toda afirmación técnica de las entregas siguientes tenga un referente claro en esta definición, dado que la evaluación no contempla una demostración en vivo.</w:t>
      </w:r>
    </w:p>
    <w:p>
      <w:pPr>
        <w:pStyle w:val="Heading3"/>
        <w:keepNext/>
        <w:keepLines/>
        <w:spacing w:before="0" w:after="160" w:line="480" w:lineRule="auto"/>
        <w:jc w:val="left"/>
        <w:outlineLvl w:val="2"/>
      </w:pPr>
      <w:r>
        <w:t>1.5.1 Arquitectura de la solución</w:t>
      </w:r>
    </w:p>
    <w:p>
      <w:pPr>
        <w:spacing w:after="160" w:line="480" w:lineRule="auto" w:before="0"/>
        <w:ind w:firstLine="720"/>
        <w:jc w:val="both"/>
      </w:pPr>
      <w:r>
        <w:rPr>
          <w:rFonts w:ascii="Times New Roman" w:cs="Times New Roman" w:eastAsia="Times New Roman" w:hAnsi="Times New Roman"/>
          <w:b w:val="false"/>
          <w:bCs w:val="false"/>
          <w:sz w:val="24"/>
          <w:szCs w:val="24"/>
        </w:rPr>
        <w:t xml:space="preserve">Construimos Q-Wallet con una arquitectura sin servidor (serverless) desplegada en la región us-east-1 de Amazon Web Services (AWS) y una aplicación móvil nativa de Android. La aplicación, desarrollada con React Native y Expo, concentra los controles del lado del cliente, alineados con OWASP MASVS (OWASP Mobile Application Security Project, 2024): almacena los tokens de sesión en el Android Keystore mediante expo-secure-store con autenticación biométrica, protege las pantallas sensibles con FLAG_SECURE y aplica protección en tiempo de ejecución (RASP) con freeRASP. Toda solicitud viaja cifrada con fijación de llaves públicas (pinning) de la autoridad raíz de Amazon. Aunque el proyecto no cuenta con un dominio propio y usa el extremo execute-api por defecto, le asignamos a la API, de tipo regional, la política de seguridad mejorada SecurityPolicy_TLS13_1_2_2021_06 de API Gateway, que negocia TLS 1.3 y acepta TLS 1.2 solo como respaldo para dispositivos Android anteriores a la versión 10.</w:t>
      </w:r>
    </w:p>
    <w:p>
      <w:pPr>
        <w:spacing w:after="160" w:line="480" w:lineRule="auto" w:before="0"/>
        <w:ind w:firstLine="720"/>
        <w:jc w:val="both"/>
      </w:pPr>
      <w:r>
        <w:rPr>
          <w:rFonts w:ascii="Times New Roman" w:cs="Times New Roman" w:eastAsia="Times New Roman" w:hAnsi="Times New Roman"/>
          <w:b w:val="false"/>
          <w:bCs w:val="false"/>
          <w:sz w:val="24"/>
          <w:szCs w:val="24"/>
        </w:rPr>
        <w:t xml:space="preserve">El tráfico entrante atraviesa primero AWS WAF y luego Amazon API Gateway (tipo REST), que valida el token mediante un autorizador de Amazon Cognito. La autenticación se resuelve con el flujo OAuth2 Authorization Code con PKCE y segundo factor TOTP contra el inicio de sesión administrado de Cognito. Detrás del borde, cinco funciones AWS Lambda (svc-profile, svc-accounts, svc-transfers, svc-budgets y svc-admin), empaquetadas como imágenes de contenedor en Amazon ECR y con un rol IAM de menor privilegio cada una, concentran la lógica de negocio. Los datos residen en Amazon DynamoDB cifrado con una llave administrada por el cliente (KMS CMK); los secretos, en SSM Parameter Store como SecureString. La trazabilidad se apoya en CloudWatch Logs y CloudTrail, que se exportan a S3 y se correlacionan en un SIEM Wazuh local. El despliegue se realiza desde GitHub Actions hacia AWS mediante OIDC, sin llaves estáticas, sobre una rama main protegida. Construimos la aplicación con todos los controles desde el diseño; no existe una versión vulnerable, y el riesgo inherente del modelo de amenazas representa el escenario sin controles, no una etapa del producto. La Figura 1 muestra la arquitectura con las seis fronteras de confianza y la ubicación de cada control. En ella, el nodo AWS IAM agrupa los roles de menor privilegio de cada Lambda, el rol de despliegue que GitHub Actions asume por OIDC y la política de la llave KMS (CTRL-12 y CTRL-21). La figura muestra los controles principales de cada servicio; la lista por endpoint está en la Tabla 7.</w:t>
      </w:r>
    </w:p>
    <w:p>
      <w:pPr>
        <w:spacing w:before="0" w:after="160" w:line="480" w:lineRule="auto"/>
        <w:sectPr>
          <w:headerReference w:type="default" r:id="rId7"/>
          <w:pgSz w:w="12240" w:h="15840"/>
          <w:pgMar w:top="1440" w:right="1440" w:bottom="1440" w:left="1440" w:header="720" w:footer="720" w:gutter="0"/>
          <w:pgNumType/>
          <w:cols w:space="720"/>
          <w:docGrid w:linePitch="360"/>
        </w:sectPr>
      </w:pPr>
    </w:p>
    <w:p>
      <w:pPr>
        <w:spacing w:after="160" w:before="0" w:line="480" w:lineRule="auto"/>
      </w:pPr>
      <w:r>
        <w:rPr>
          <w:rFonts w:ascii="Times New Roman" w:cs="Times New Roman" w:eastAsia="Times New Roman" w:hAnsi="Times New Roman"/>
          <w:b/>
          <w:bCs/>
          <w:sz w:val="24"/>
          <w:szCs w:val="24"/>
        </w:rPr>
        <w:t xml:space="preserve">Figura 1</w:t>
      </w:r>
    </w:p>
    <w:p>
      <w:pPr>
        <w:spacing w:after="160" w:line="480" w:lineRule="auto" w:before="0"/>
      </w:pPr>
      <w:r>
        <w:rPr>
          <w:rFonts w:ascii="Times New Roman" w:cs="Times New Roman" w:eastAsia="Times New Roman" w:hAnsi="Times New Roman"/>
          <w:i/>
          <w:iCs/>
          <w:sz w:val="24"/>
          <w:szCs w:val="24"/>
        </w:rPr>
        <w:t xml:space="preserve">Arquitectura de seguridad de Q-Wallet con fronteras de confianza y controles</w:t>
      </w:r>
    </w:p>
    <w:p>
      <w:pPr>
        <w:spacing w:after="160" w:before="0" w:line="480" w:lineRule="auto"/>
        <w:jc w:val="center"/>
      </w:pPr>
      <w:r>
        <w:drawing>
          <wp:inline distT="0" distB="0" distL="0" distR="0">
            <wp:extent cx="6035040" cy="35087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6035040" cy="3508744"/>
                    </a:xfrm>
                    <a:prstGeom prst="rect">
                      <a:avLst/>
                    </a:prstGeom>
                  </pic:spPr>
                </pic:pic>
              </a:graphicData>
            </a:graphic>
          </wp:inline>
        </w:drawing>
      </w:r>
    </w:p>
    <w:p>
      <w:pPr>
        <w:spacing w:after="160" w:before="0" w:line="480" w:lineRule="auto"/>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Las líneas verdes representan flujos con un control de seguridad asociado y las etiquetas CTRL-xx indican el control que actúa en cada componente o frontera. El detalle de cada control está en la Tabla 9. CTRL-23 (verificación de identidad en soporte y capacitación contra ingeniería social) es un control de procedimiento y no se dibuja.</w:t>
      </w:r>
    </w:p>
    <w:p>
      <w:pPr>
        <w:spacing w:before="0" w:after="160" w:line="480" w:lineRule="auto"/>
        <w:sectPr>
          <w:headerReference w:type="default" r:id="rId7"/>
          <w:pgSz w:w="15840" w:h="12240" w:orient="landscape"/>
          <w:pgMar w:top="1440" w:right="1440" w:bottom="1440" w:left="1440" w:header="720" w:footer="720" w:gutter="0"/>
          <w:cols w:space="720"/>
          <w:docGrid w:linePitch="360"/>
        </w:sectPr>
      </w:pPr>
    </w:p>
    <w:p>
      <w:pPr>
        <w:pStyle w:val="Heading3"/>
        <w:keepNext/>
        <w:keepLines/>
        <w:spacing w:before="0" w:after="160" w:line="480" w:lineRule="auto"/>
        <w:jc w:val="left"/>
        <w:outlineLvl w:val="2"/>
      </w:pPr>
      <w:r>
        <w:t>1.5.2 Superficie de la API</w:t>
      </w:r>
    </w:p>
    <w:p>
      <w:pPr>
        <w:spacing w:after="160" w:line="480" w:lineRule="auto" w:before="0"/>
        <w:ind w:firstLine="720"/>
        <w:jc w:val="both"/>
      </w:pPr>
      <w:r>
        <w:rPr>
          <w:rFonts w:ascii="Times New Roman" w:cs="Times New Roman" w:eastAsia="Times New Roman" w:hAnsi="Times New Roman"/>
          <w:b w:val="false"/>
          <w:bCs w:val="false"/>
          <w:sz w:val="24"/>
          <w:szCs w:val="24"/>
        </w:rPr>
        <w:t xml:space="preserve">La superficie expuesta se limita a los endpoints REST de los cinco microservicios. Todos requieren un token de Cognito válido, salvo el propio flujo de inicio de sesión administrado, que queda fuera de nuestra superficie de prueba. Las rutas /admin/* exigen además pertenencia al grupo admins. La Tabla 7 relaciona cada endpoint con su método, la autenticación requerida, el rol y los controles que aplican. La autorización a nivel de objeto (CTRL-01) y por función (CTRL-14) responde a las categorías API1 y API5 del OWASP API Security Top 10 2023 (OWASP Foundation, 2023). De forma transversal a toda la superficie actúan la fijación de TLS (CTRL-08), el filtrado de AWS WAF (CTRL-17), las cabeceras de seguridad y los errores genéricos (CTRL-13) y la redacción de datos sensibles en los registros (CTRL-09).</w:t>
      </w:r>
    </w:p>
    <w:p>
      <w:pPr>
        <w:spacing w:after="160" w:before="0" w:line="480" w:lineRule="auto"/>
      </w:pPr>
      <w:r>
        <w:rPr>
          <w:rFonts w:ascii="Times New Roman" w:cs="Times New Roman" w:eastAsia="Times New Roman" w:hAnsi="Times New Roman"/>
          <w:b/>
          <w:bCs/>
          <w:sz w:val="24"/>
          <w:szCs w:val="24"/>
        </w:rPr>
        <w:t xml:space="preserve">Tabla 7</w:t>
      </w:r>
    </w:p>
    <w:p>
      <w:pPr>
        <w:spacing w:after="160" w:line="480" w:lineRule="auto" w:before="0"/>
      </w:pPr>
      <w:r>
        <w:rPr>
          <w:rFonts w:ascii="Times New Roman" w:cs="Times New Roman" w:eastAsia="Times New Roman" w:hAnsi="Times New Roman"/>
          <w:i/>
          <w:iCs/>
          <w:sz w:val="24"/>
          <w:szCs w:val="24"/>
        </w:rPr>
        <w:t xml:space="preserve">Superficie de la API de Q-Wallet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2650"/>
        <w:gridCol w:w="1150"/>
        <w:gridCol w:w="1700"/>
        <w:gridCol w:w="760"/>
        <w:gridCol w:w="1950"/>
      </w:tblGrid>
      <w:tr>
        <w:trPr>
          <w:tblHeader/>
        </w:trPr>
        <w:tc>
          <w:tcPr>
            <w:tcW w:type="dxa" w:w="115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bCs/>
                <w:sz w:val="16"/>
                <w:szCs w:val="16"/>
              </w:rPr>
              <w:t xml:space="preserve">Servicio</w:t>
            </w:r>
          </w:p>
        </w:tc>
        <w:tc>
          <w:tcPr>
            <w:tcW w:type="dxa" w:w="265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bCs/>
                <w:sz w:val="16"/>
                <w:szCs w:val="16"/>
              </w:rPr>
              <w:t xml:space="preserve">Endpoint</w:t>
            </w:r>
          </w:p>
        </w:tc>
        <w:tc>
          <w:tcPr>
            <w:tcW w:type="dxa" w:w="115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bCs/>
                <w:sz w:val="16"/>
                <w:szCs w:val="16"/>
              </w:rPr>
              <w:t xml:space="preserve">Método</w:t>
            </w:r>
          </w:p>
        </w:tc>
        <w:tc>
          <w:tcPr>
            <w:tcW w:type="dxa" w:w="17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bCs/>
                <w:sz w:val="16"/>
                <w:szCs w:val="16"/>
              </w:rPr>
              <w:t xml:space="preserve">Autenticación</w:t>
            </w:r>
          </w:p>
        </w:tc>
        <w:tc>
          <w:tcPr>
            <w:tcW w:type="dxa" w:w="76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bCs/>
                <w:sz w:val="16"/>
                <w:szCs w:val="16"/>
              </w:rPr>
              <w:t xml:space="preserve">Rol</w:t>
            </w:r>
          </w:p>
        </w:tc>
        <w:tc>
          <w:tcPr>
            <w:tcW w:type="dxa" w:w="195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bCs/>
                <w:sz w:val="16"/>
                <w:szCs w:val="16"/>
              </w:rPr>
              <w:t xml:space="preserve">Controles</w:t>
            </w:r>
          </w:p>
        </w:tc>
      </w:tr>
      <w:tr>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svc-profile</w:t>
            </w:r>
          </w:p>
        </w:tc>
        <w:tc>
          <w:tcPr>
            <w:tcW w:type="dxa" w:w="26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/me</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GET, PATCH</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JWT Cognito</w:t>
            </w:r>
          </w:p>
        </w:tc>
        <w:tc>
          <w:tcPr>
            <w:tcW w:type="dxa" w:w="7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Cliente</w:t>
            </w:r>
          </w:p>
        </w:tc>
        <w:tc>
          <w:tcPr>
            <w:tcW w:type="dxa" w:w="19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CTRL-03, CTRL-04, CTRL-14</w:t>
            </w:r>
          </w:p>
        </w:tc>
      </w:tr>
      <w:tr>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svc-profile</w:t>
            </w:r>
          </w:p>
        </w:tc>
        <w:tc>
          <w:tcPr>
            <w:tcW w:type="dxa" w:w="26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/users/search?phone=</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GET</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JWT Cognito</w:t>
            </w:r>
          </w:p>
        </w:tc>
        <w:tc>
          <w:tcPr>
            <w:tcW w:type="dxa" w:w="7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Cliente</w:t>
            </w:r>
          </w:p>
        </w:tc>
        <w:tc>
          <w:tcPr>
            <w:tcW w:type="dxa" w:w="19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CTRL-03, CTRL-05</w:t>
            </w:r>
          </w:p>
        </w:tc>
      </w:tr>
      <w:tr>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svc-profile</w:t>
            </w:r>
          </w:p>
        </w:tc>
        <w:tc>
          <w:tcPr>
            <w:tcW w:type="dxa" w:w="26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/pin</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POST</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JWT Cognito</w:t>
            </w:r>
          </w:p>
        </w:tc>
        <w:tc>
          <w:tcPr>
            <w:tcW w:type="dxa" w:w="7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Cliente</w:t>
            </w:r>
          </w:p>
        </w:tc>
        <w:tc>
          <w:tcPr>
            <w:tcW w:type="dxa" w:w="19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CTRL-02, CTRL-04</w:t>
            </w:r>
          </w:p>
        </w:tc>
      </w:tr>
      <w:tr>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svc-accounts</w:t>
            </w:r>
          </w:p>
        </w:tc>
        <w:tc>
          <w:tcPr>
            <w:tcW w:type="dxa" w:w="26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/accounts</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GET</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JWT Cognito</w:t>
            </w:r>
          </w:p>
        </w:tc>
        <w:tc>
          <w:tcPr>
            <w:tcW w:type="dxa" w:w="7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Cliente</w:t>
            </w:r>
          </w:p>
        </w:tc>
        <w:tc>
          <w:tcPr>
            <w:tcW w:type="dxa" w:w="19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CTRL-01, CTRL-05</w:t>
            </w:r>
          </w:p>
        </w:tc>
      </w:tr>
      <w:tr>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svc-accounts</w:t>
            </w:r>
          </w:p>
        </w:tc>
        <w:tc>
          <w:tcPr>
            <w:tcW w:type="dxa" w:w="26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/accounts/{accountId}/transactions</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GET</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JWT Cognito</w:t>
            </w:r>
          </w:p>
        </w:tc>
        <w:tc>
          <w:tcPr>
            <w:tcW w:type="dxa" w:w="7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Cliente</w:t>
            </w:r>
          </w:p>
        </w:tc>
        <w:tc>
          <w:tcPr>
            <w:tcW w:type="dxa" w:w="19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CTRL-01, CTRL-05</w:t>
            </w:r>
          </w:p>
        </w:tc>
      </w:tr>
      <w:tr>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svc-transfers</w:t>
            </w:r>
          </w:p>
        </w:tc>
        <w:tc>
          <w:tcPr>
            <w:tcW w:type="dxa" w:w="26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/transfers</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POST</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JWT Cognito + PIN</w:t>
            </w:r>
          </w:p>
        </w:tc>
        <w:tc>
          <w:tcPr>
            <w:tcW w:type="dxa" w:w="7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Cliente</w:t>
            </w:r>
          </w:p>
        </w:tc>
        <w:tc>
          <w:tcPr>
            <w:tcW w:type="dxa" w:w="19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CTRL-01, CTRL-02, CTRL-04, CTRL-06</w:t>
            </w:r>
          </w:p>
        </w:tc>
      </w:tr>
      <w:tr>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svc-transfers</w:t>
            </w:r>
          </w:p>
        </w:tc>
        <w:tc>
          <w:tcPr>
            <w:tcW w:type="dxa" w:w="26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/transfers/{id}</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GET</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JWT Cognito</w:t>
            </w:r>
          </w:p>
        </w:tc>
        <w:tc>
          <w:tcPr>
            <w:tcW w:type="dxa" w:w="7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Cliente</w:t>
            </w:r>
          </w:p>
        </w:tc>
        <w:tc>
          <w:tcPr>
            <w:tcW w:type="dxa" w:w="19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CTRL-01</w:t>
            </w:r>
          </w:p>
        </w:tc>
      </w:tr>
      <w:tr>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svc-transfers</w:t>
            </w:r>
          </w:p>
        </w:tc>
        <w:tc>
          <w:tcPr>
            <w:tcW w:type="dxa" w:w="26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/beneficiaries</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GET, POST, DELETE</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JWT Cognito</w:t>
            </w:r>
          </w:p>
        </w:tc>
        <w:tc>
          <w:tcPr>
            <w:tcW w:type="dxa" w:w="7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Cliente</w:t>
            </w:r>
          </w:p>
        </w:tc>
        <w:tc>
          <w:tcPr>
            <w:tcW w:type="dxa" w:w="19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CTRL-01, CTRL-04</w:t>
            </w:r>
          </w:p>
        </w:tc>
      </w:tr>
      <w:tr>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svc-budgets</w:t>
            </w:r>
          </w:p>
        </w:tc>
        <w:tc>
          <w:tcPr>
            <w:tcW w:type="dxa" w:w="26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/categories</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GET</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JWT Cognito</w:t>
            </w:r>
          </w:p>
        </w:tc>
        <w:tc>
          <w:tcPr>
            <w:tcW w:type="dxa" w:w="7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Cliente</w:t>
            </w:r>
          </w:p>
        </w:tc>
        <w:tc>
          <w:tcPr>
            <w:tcW w:type="dxa" w:w="19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CTRL-01</w:t>
            </w:r>
          </w:p>
        </w:tc>
      </w:tr>
      <w:tr>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svc-budgets</w:t>
            </w:r>
          </w:p>
        </w:tc>
        <w:tc>
          <w:tcPr>
            <w:tcW w:type="dxa" w:w="26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/budgets</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GET, POST, PUT</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JWT Cognito</w:t>
            </w:r>
          </w:p>
        </w:tc>
        <w:tc>
          <w:tcPr>
            <w:tcW w:type="dxa" w:w="7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Cliente</w:t>
            </w:r>
          </w:p>
        </w:tc>
        <w:tc>
          <w:tcPr>
            <w:tcW w:type="dxa" w:w="19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CTRL-01, CTRL-04</w:t>
            </w:r>
          </w:p>
        </w:tc>
      </w:tr>
      <w:tr>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svc-admin</w:t>
            </w:r>
          </w:p>
        </w:tc>
        <w:tc>
          <w:tcPr>
            <w:tcW w:type="dxa" w:w="26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/admin/users</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GET</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JWT Cognito (grupo admins)</w:t>
            </w:r>
          </w:p>
        </w:tc>
        <w:tc>
          <w:tcPr>
            <w:tcW w:type="dxa" w:w="7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Admin</w:t>
            </w:r>
          </w:p>
        </w:tc>
        <w:tc>
          <w:tcPr>
            <w:tcW w:type="dxa" w:w="19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CTRL-14, CTRL-18</w:t>
            </w:r>
          </w:p>
        </w:tc>
      </w:tr>
      <w:tr>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svc-admin</w:t>
            </w:r>
          </w:p>
        </w:tc>
        <w:tc>
          <w:tcPr>
            <w:tcW w:type="dxa" w:w="26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/admin/users/{id}/block</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POST</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JWT Cognito (grupo admins)</w:t>
            </w:r>
          </w:p>
        </w:tc>
        <w:tc>
          <w:tcPr>
            <w:tcW w:type="dxa" w:w="7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Admin</w:t>
            </w:r>
          </w:p>
        </w:tc>
        <w:tc>
          <w:tcPr>
            <w:tcW w:type="dxa" w:w="19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CTRL-14, CTRL-20, CTRL-23</w:t>
            </w:r>
          </w:p>
        </w:tc>
      </w:tr>
      <w:tr>
        <w:tc>
          <w:tcPr>
            <w:tcW w:type="dxa" w:w="115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svc-admin</w:t>
            </w:r>
          </w:p>
        </w:tc>
        <w:tc>
          <w:tcPr>
            <w:tcW w:type="dxa" w:w="265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/admin/audit</w:t>
            </w:r>
          </w:p>
        </w:tc>
        <w:tc>
          <w:tcPr>
            <w:tcW w:type="dxa" w:w="115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GET</w:t>
            </w:r>
          </w:p>
        </w:tc>
        <w:tc>
          <w:tcPr>
            <w:tcW w:type="dxa" w:w="17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JWT Cognito (grupo admins)</w:t>
            </w:r>
          </w:p>
        </w:tc>
        <w:tc>
          <w:tcPr>
            <w:tcW w:type="dxa" w:w="76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Admin</w:t>
            </w:r>
          </w:p>
        </w:tc>
        <w:tc>
          <w:tcPr>
            <w:tcW w:type="dxa" w:w="195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CTRL-14, CTRL-20</w:t>
            </w:r>
          </w:p>
        </w:tc>
      </w:tr>
    </w:tbl>
    <w:p>
      <w:pPr>
        <w:spacing w:after="160" w:before="0" w:line="480" w:lineRule="auto"/>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a partir de la arquitectura descrita en la sección 1.5.1. JWT: JSON Web Token. Los controles transversales CTRL-08, CTRL-09, CTRL-13 y CTRL-17 aplican a todos los endpoints.</w:t>
      </w:r>
    </w:p>
    <w:p>
      <w:pPr>
        <w:pStyle w:val="Heading3"/>
        <w:keepNext/>
        <w:keepLines/>
        <w:spacing w:before="0" w:after="160" w:line="480" w:lineRule="auto"/>
        <w:jc w:val="left"/>
        <w:outlineLvl w:val="2"/>
      </w:pPr>
      <w:r>
        <w:t>1.5.3 Fronteras de confianza</w:t>
      </w:r>
    </w:p>
    <w:p>
      <w:pPr>
        <w:spacing w:after="160" w:line="480" w:lineRule="auto" w:before="0"/>
        <w:ind w:firstLine="720"/>
        <w:jc w:val="both"/>
      </w:pPr>
      <w:r>
        <w:rPr>
          <w:rFonts w:ascii="Times New Roman" w:cs="Times New Roman" w:eastAsia="Times New Roman" w:hAnsi="Times New Roman"/>
          <w:b w:val="false"/>
          <w:bCs w:val="false"/>
          <w:sz w:val="24"/>
          <w:szCs w:val="24"/>
        </w:rPr>
        <w:t xml:space="preserve">El modelo de amenazas, elaborado en OWASP Threat Dragon (OWASP Foundation, 2024), identifica seis fronteras de confianza, es decir, los límites donde cambia el nivel de confianza de los datos y donde se concentra el análisis STRIDE. La Tabla 8 resume, por cada frontera, qué información la cruza, la amenaza principal asociada y los controles que la contienen.</w:t>
      </w:r>
    </w:p>
    <w:p>
      <w:pPr>
        <w:spacing w:after="160" w:before="0" w:line="480" w:lineRule="auto"/>
      </w:pPr>
      <w:r>
        <w:rPr>
          <w:rFonts w:ascii="Times New Roman" w:cs="Times New Roman" w:eastAsia="Times New Roman" w:hAnsi="Times New Roman"/>
          <w:b/>
          <w:bCs/>
          <w:sz w:val="24"/>
          <w:szCs w:val="24"/>
        </w:rPr>
        <w:t xml:space="preserve">Tabla 8</w:t>
      </w:r>
    </w:p>
    <w:p>
      <w:pPr>
        <w:spacing w:after="160" w:line="480" w:lineRule="auto" w:before="0"/>
      </w:pPr>
      <w:r>
        <w:rPr>
          <w:rFonts w:ascii="Times New Roman" w:cs="Times New Roman" w:eastAsia="Times New Roman" w:hAnsi="Times New Roman"/>
          <w:i/>
          <w:iCs/>
          <w:sz w:val="24"/>
          <w:szCs w:val="24"/>
        </w:rPr>
        <w:t xml:space="preserve">Fronteras de confianza de Q-Wallet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2550"/>
        <w:gridCol w:w="2560"/>
        <w:gridCol w:w="2050"/>
      </w:tblGrid>
      <w:tr>
        <w:trPr>
          <w:tblHeader/>
        </w:trPr>
        <w:tc>
          <w:tcPr>
            <w:tcW w:type="dxa" w:w="22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bCs/>
                <w:sz w:val="18"/>
                <w:szCs w:val="18"/>
              </w:rPr>
              <w:t xml:space="preserve">Frontera</w:t>
            </w:r>
          </w:p>
        </w:tc>
        <w:tc>
          <w:tcPr>
            <w:tcW w:type="dxa" w:w="255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bCs/>
                <w:sz w:val="18"/>
                <w:szCs w:val="18"/>
              </w:rPr>
              <w:t xml:space="preserve">Qué la cruza</w:t>
            </w:r>
          </w:p>
        </w:tc>
        <w:tc>
          <w:tcPr>
            <w:tcW w:type="dxa" w:w="256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bCs/>
                <w:sz w:val="18"/>
                <w:szCs w:val="18"/>
              </w:rPr>
              <w:t xml:space="preserve">Amenaza principal</w:t>
            </w:r>
          </w:p>
        </w:tc>
        <w:tc>
          <w:tcPr>
            <w:tcW w:type="dxa" w:w="205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bCs/>
                <w:sz w:val="18"/>
                <w:szCs w:val="18"/>
              </w:rPr>
              <w:t xml:space="preserve">Controles</w:t>
            </w:r>
          </w:p>
        </w:tc>
      </w:tr>
      <w:tr>
        <w:tc>
          <w:tcPr>
            <w:tcW w:type="dxa" w:w="22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8"/>
                <w:szCs w:val="18"/>
              </w:rPr>
              <w:t xml:space="preserve">TB1  Dispositivo del cliente ↔ Internet</w:t>
            </w:r>
          </w:p>
        </w:tc>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8"/>
                <w:szCs w:val="18"/>
              </w:rPr>
              <w:t xml:space="preserve">Credenciales, PIN, tokens y datos de la app</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8"/>
                <w:szCs w:val="18"/>
              </w:rPr>
              <w:t xml:space="preserve">Robo de tokens, uso en dispositivo robado, ingeniería inversa</w:t>
            </w:r>
          </w:p>
        </w:tc>
        <w:tc>
          <w:tcPr>
            <w:tcW w:type="dxa" w:w="2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8"/>
                <w:szCs w:val="18"/>
              </w:rPr>
              <w:t xml:space="preserve">CTRL-07, CTRL-08, CTRL-15, CTRL-22</w:t>
            </w:r>
          </w:p>
        </w:tc>
      </w:tr>
      <w:tr>
        <w:tc>
          <w:tcPr>
            <w:tcW w:type="dxa" w:w="22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8"/>
                <w:szCs w:val="18"/>
              </w:rPr>
              <w:t xml:space="preserve">TB2  Internet ↔ Borde AWS</w:t>
            </w:r>
          </w:p>
        </w:tc>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8"/>
                <w:szCs w:val="18"/>
              </w:rPr>
              <w:t xml:space="preserve">Solicitudes REST con JWT y flujo OAuth2</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8"/>
                <w:szCs w:val="18"/>
              </w:rPr>
              <w:t xml:space="preserve">Credential stuffing, token falsificado, saturación, MITM</w:t>
            </w:r>
          </w:p>
        </w:tc>
        <w:tc>
          <w:tcPr>
            <w:tcW w:type="dxa" w:w="2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8"/>
                <w:szCs w:val="18"/>
              </w:rPr>
              <w:t xml:space="preserve">CTRL-05, CTRL-08, CTRL-13, CTRL-17, CTRL-18</w:t>
            </w:r>
          </w:p>
        </w:tc>
      </w:tr>
      <w:tr>
        <w:tc>
          <w:tcPr>
            <w:tcW w:type="dxa" w:w="22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8"/>
                <w:szCs w:val="18"/>
              </w:rPr>
              <w:t xml:space="preserve">TB3  API Gateway ↔ Lambdas</w:t>
            </w:r>
          </w:p>
        </w:tc>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8"/>
                <w:szCs w:val="18"/>
              </w:rPr>
              <w:t xml:space="preserve">Evento con claims del autorizador</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8"/>
                <w:szCs w:val="18"/>
              </w:rPr>
              <w:t xml:space="preserve">BOLA, BFLA, asignación masiva, enumeración, doble gasto</w:t>
            </w:r>
          </w:p>
        </w:tc>
        <w:tc>
          <w:tcPr>
            <w:tcW w:type="dxa" w:w="2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8"/>
                <w:szCs w:val="18"/>
              </w:rPr>
              <w:t xml:space="preserve">CTRL-01, CTRL-02, CTRL-03, CTRL-04, CTRL-05, CTRL-06, CTRL-14</w:t>
            </w:r>
          </w:p>
        </w:tc>
      </w:tr>
      <w:tr>
        <w:tc>
          <w:tcPr>
            <w:tcW w:type="dxa" w:w="22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8"/>
                <w:szCs w:val="18"/>
              </w:rPr>
              <w:t xml:space="preserve">TB4  Lambdas ↔ Datos</w:t>
            </w:r>
          </w:p>
        </w:tc>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8"/>
                <w:szCs w:val="18"/>
              </w:rPr>
              <w:t xml:space="preserve">Lectura y escritura en DynamoDB, SSM, KMS y logs</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8"/>
                <w:szCs w:val="18"/>
              </w:rPr>
              <w:t xml:space="preserve">Rol IAM excesivo, exposición en reposo, bucket público, imagen alterada</w:t>
            </w:r>
          </w:p>
        </w:tc>
        <w:tc>
          <w:tcPr>
            <w:tcW w:type="dxa" w:w="2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8"/>
                <w:szCs w:val="18"/>
              </w:rPr>
              <w:t xml:space="preserve">CTRL-11, CTRL-12, CTRL-16, CTRL-19</w:t>
            </w:r>
          </w:p>
        </w:tc>
      </w:tr>
      <w:tr>
        <w:tc>
          <w:tcPr>
            <w:tcW w:type="dxa" w:w="22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8"/>
                <w:szCs w:val="18"/>
              </w:rPr>
              <w:t xml:space="preserve">TB5  GitHub (CI/CD) ↔ AWS</w:t>
            </w:r>
          </w:p>
        </w:tc>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8"/>
                <w:szCs w:val="18"/>
              </w:rPr>
              <w:t xml:space="preserve">Código, imágenes e infraestructura (IaC)</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8"/>
                <w:szCs w:val="18"/>
              </w:rPr>
              <w:t xml:space="preserve">Dependencia vulnerable, secreto en el repositorio, pipeline comprometido</w:t>
            </w:r>
          </w:p>
        </w:tc>
        <w:tc>
          <w:tcPr>
            <w:tcW w:type="dxa" w:w="2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8"/>
                <w:szCs w:val="18"/>
              </w:rPr>
              <w:t xml:space="preserve">CTRL-10, CTRL-16, CTRL-21</w:t>
            </w:r>
          </w:p>
        </w:tc>
      </w:tr>
      <w:tr>
        <w:tc>
          <w:tcPr>
            <w:tcW w:type="dxa" w:w="22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8"/>
                <w:szCs w:val="18"/>
              </w:rPr>
              <w:t xml:space="preserve">TB6  AWS ↔ SIEM local</w:t>
            </w:r>
          </w:p>
        </w:tc>
        <w:tc>
          <w:tcPr>
            <w:tcW w:type="dxa" w:w="255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8"/>
                <w:szCs w:val="18"/>
              </w:rPr>
              <w:t xml:space="preserve">Eventos de CloudTrail para correlación</w:t>
            </w:r>
          </w:p>
        </w:tc>
        <w:tc>
          <w:tcPr>
            <w:tcW w:type="dxa" w:w="256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8"/>
                <w:szCs w:val="18"/>
              </w:rPr>
              <w:t xml:space="preserve">SIEM apagado y lectura de registros con las llaves del SIEM</w:t>
            </w:r>
          </w:p>
        </w:tc>
        <w:tc>
          <w:tcPr>
            <w:tcW w:type="dxa" w:w="205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8"/>
                <w:szCs w:val="18"/>
              </w:rPr>
              <w:t xml:space="preserve">CTRL-12, CTRL-16, CTRL-20</w:t>
            </w:r>
          </w:p>
        </w:tc>
      </w:tr>
    </w:tbl>
    <w:p>
      <w:pPr>
        <w:spacing w:after="160" w:before="0" w:line="480" w:lineRule="auto"/>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a partir del DFD del modelo de amenazas. BOLA: Broken Object Level Authorization. BFLA: Broken Function Level Authorization. MITM: ataque de intermediario. En las Figuras 1 y 3 cada frontera se rotula con la zona que delimita (por ejemplo, «TB3 Cómputo Lambda»); en esta tabla se nombra por el cruce que controla.</w:t>
      </w:r>
    </w:p>
    <w:p>
      <w:pPr>
        <w:pStyle w:val="Heading3"/>
        <w:keepNext/>
        <w:keepLines/>
        <w:spacing w:before="0" w:after="160" w:line="480" w:lineRule="auto"/>
        <w:jc w:val="left"/>
        <w:outlineLvl w:val="2"/>
      </w:pPr>
      <w:r>
        <w:t>1.5.4 Controles de seguridad por componente</w:t>
      </w:r>
    </w:p>
    <w:p>
      <w:pPr>
        <w:spacing w:after="160" w:line="480" w:lineRule="auto" w:before="0"/>
        <w:ind w:firstLine="720"/>
        <w:jc w:val="both"/>
      </w:pPr>
      <w:r>
        <w:rPr>
          <w:rFonts w:ascii="Times New Roman" w:cs="Times New Roman" w:eastAsia="Times New Roman" w:hAnsi="Times New Roman"/>
          <w:b w:val="false"/>
          <w:bCs w:val="false"/>
          <w:sz w:val="24"/>
          <w:szCs w:val="24"/>
        </w:rPr>
        <w:t xml:space="preserve">Para mantener legible el diagrama, el detalle de los veintitrés controles se recoge en la Tabla 9, que ubica cada control en el componente o frontera donde actúa, lo asocia a la capa de las siete capas de defensa y resume qué asegura. Esta tabla es la referencia del mapeo que la Figura 1 representa de forma gráfica. Los controles del contenedor (CTRL-11) y de la configuración de la cuenta (CTRL-12) siguen los benchmarks de Docker y de AWS del Center for Internet Security (CIS, 2024, 2025), y los de cifrado y registro de eventos se apoyan en el Anexo A de ISO/IEC 27001:2022 (ISO e IEC, 2022a).</w:t>
      </w:r>
    </w:p>
    <w:p>
      <w:pPr>
        <w:spacing w:after="160" w:before="0" w:line="480" w:lineRule="auto"/>
      </w:pPr>
      <w:r>
        <w:rPr>
          <w:rFonts w:ascii="Times New Roman" w:cs="Times New Roman" w:eastAsia="Times New Roman" w:hAnsi="Times New Roman"/>
          <w:b/>
          <w:bCs/>
          <w:sz w:val="24"/>
          <w:szCs w:val="24"/>
        </w:rPr>
        <w:t xml:space="preserve">Tabla 9</w:t>
      </w:r>
    </w:p>
    <w:p>
      <w:pPr>
        <w:spacing w:after="160" w:line="480" w:lineRule="auto" w:before="0"/>
      </w:pPr>
      <w:r>
        <w:rPr>
          <w:rFonts w:ascii="Times New Roman" w:cs="Times New Roman" w:eastAsia="Times New Roman" w:hAnsi="Times New Roman"/>
          <w:i/>
          <w:iCs/>
          <w:sz w:val="24"/>
          <w:szCs w:val="24"/>
        </w:rPr>
        <w:t xml:space="preserve">Controles de seguridad por componente, frontera y capa</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50"/>
        <w:gridCol w:w="1750"/>
        <w:gridCol w:w="900"/>
        <w:gridCol w:w="4160"/>
      </w:tblGrid>
      <w:tr>
        <w:trPr>
          <w:tblHeader/>
        </w:trPr>
        <w:tc>
          <w:tcPr>
            <w:tcW w:type="dxa" w:w="255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bCs/>
                <w:sz w:val="16"/>
                <w:szCs w:val="16"/>
              </w:rPr>
              <w:t xml:space="preserve">Componente o frontera</w:t>
            </w:r>
          </w:p>
        </w:tc>
        <w:tc>
          <w:tcPr>
            <w:tcW w:type="dxa" w:w="175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bCs/>
                <w:sz w:val="16"/>
                <w:szCs w:val="16"/>
              </w:rPr>
              <w:t xml:space="preserve">Controles</w:t>
            </w:r>
          </w:p>
        </w:tc>
        <w:tc>
          <w:tcPr>
            <w:tcW w:type="dxa" w:w="9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bCs/>
                <w:sz w:val="16"/>
                <w:szCs w:val="16"/>
              </w:rPr>
              <w:t xml:space="preserve">Capa</w:t>
            </w:r>
          </w:p>
        </w:tc>
        <w:tc>
          <w:tcPr>
            <w:tcW w:type="dxa" w:w="416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bCs/>
                <w:sz w:val="16"/>
                <w:szCs w:val="16"/>
              </w:rPr>
              <w:t xml:space="preserve">Qué asegura</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App Android Q-Wallet (TB1)</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CTRL-15, CTRL-22</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2a / 3 / 1</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RASP (root, hooking, emulador) y bloqueo de capturas en pantallas sensibles</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Android Keystore (TB1)</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CTRL-07</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1</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Tokens cifrados con desbloqueo biométrico</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Flujo App ↔ Borde (TB1-TB2)</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CTRL-08</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1</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TLS 1.3 (TLS 1.2 de respaldo) con fijación de llaves de Amazon Root CA</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AWS WAF (TB2)</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CTRL-17</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5</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Core Rule Set, Known Bad Inputs y regla rate-based</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API Gateway (TB2)</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CTRL-05, CTRL-13</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2d / 5</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Paginación con tope y throttling; CORS, cabeceras y errores genéricos</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Cognito User Pool (TB2)</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CTRL-18</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2b</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MFA TOTP, Authorization Code con PKCE y tokens de corta vida</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svc-profile (TB3)</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CTRL-02, CTRL-03, CTRL-04, CTRL-05, CTRL-14</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1 / 2a / 2b / 2d</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DTOs mínimos con enmascaramiento; validación zod estricta; hash del PIN (POST /pin); tope en la búsqueda por teléfono; autorización por función al editar el perfil</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svc-accounts (TB3)</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CTRL-01, CTRL-05</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2b / 2d</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Autorización a nivel de objeto; paginación por cursor</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svc-transfers (TB3)</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CTRL-01, CTRL-02, CTRL-04, CTRL-06</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2a / 2b</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Autorización de objeto, validación de entrada, PIN con scrypt y escritura idempotente transaccional</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svc-budgets (TB3)</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CTRL-01, CTRL-04</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2b</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Autorización de objeto y validación de entrada</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svc-admin (TB3)</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CTRL-09, CTRL-14, CTRL-18, CTRL-20</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2b / 7</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Autorización por función (grupo admins) con MFA obligatorio, registro de auditoría y alertas en el SIEM</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Personal de soporte (TB2)</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CTRL-23</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7</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Verificación de identidad del cliente por un canal distinto antes de bloquear, desbloquear o cambiar datos; capacitación anual contra ingeniería social</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DynamoDB, KMS y S3 (TB4)</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CTRL-19</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1</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Cifrado en reposo con KMS CMK propia y rotación anual</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SSM Parameter Store (TB4)</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CTRL-16</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2a / 7</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Secretos fuera del cliente; detección con gitleaks</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Amazon ECR / imagen Lambda (TB4-TB3)</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CTRL-11</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3</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Imagen multi-stage, base por digest y usuario no root</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CloudWatch / CloudTrail (TB4)</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CTRL-09, CTRL-12</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1 / 4</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Redacción de tokens y PII en logs; S3 bloqueado y rol IAM mínimo</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Wazuh SIEM (TB6)</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CTRL-20</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7</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CloudTrail multirregión con alertas de correlación</w:t>
            </w:r>
          </w:p>
        </w:tc>
      </w:tr>
      <w:tr>
        <w:tc>
          <w:tcPr>
            <w:tcW w:type="dxa" w:w="255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GitHub Actions (TB5)</w:t>
            </w:r>
          </w:p>
        </w:tc>
        <w:tc>
          <w:tcPr>
            <w:tcW w:type="dxa" w:w="175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CTRL-10, CTRL-16, CTRL-21</w:t>
            </w:r>
          </w:p>
        </w:tc>
        <w:tc>
          <w:tcPr>
            <w:tcW w:type="dxa" w:w="9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2c / 7</w:t>
            </w:r>
          </w:p>
        </w:tc>
        <w:tc>
          <w:tcPr>
            <w:tcW w:type="dxa" w:w="416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SCA que bloquea High/Critical; sin secretos; despliegue OIDC y main protegida</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Dispositivo y centros de datos (TB1 y AWS)</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CTRL-07, CTRL-18</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6</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6"/>
                <w:szCs w:val="16"/>
              </w:rPr>
              <w:t xml:space="preserve">Ante la pérdida o el robo del teléfono, desbloqueo biométrico y MFA; la seguridad física de los centros de datos la asegura AWS (responsabilidad compartida)</w:t>
            </w:r>
          </w:p>
        </w:tc>
      </w:tr>
    </w:tbl>
    <w:p>
      <w:pPr>
        <w:spacing w:after="160" w:before="0" w:line="480" w:lineRule="auto"/>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Las capas corresponden a las siete capas de defensa en profundidad; la capa 2 se divide en 2a (código), 2b (aplicación), 2c (implementación) y 2d (perímetro de aplicación). CTRL-22 (FLAG_SECURE) se incorpora al catálogo en esta entrega. La capa 6 no tiene un control propio: la cubren los controles del dispositivo y el proveedor. La capa 4 depende de un solo control (CTRL-12, roles IAM de menor privilegio), que verificaremos con Checkov y Prowler.</w:t>
      </w:r>
    </w:p>
    <w:p>
      <w:pPr>
        <w:pStyle w:val="Heading3"/>
        <w:keepNext/>
        <w:keepLines/>
        <w:spacing w:before="0" w:after="160" w:line="480" w:lineRule="auto"/>
        <w:jc w:val="left"/>
        <w:outlineLvl w:val="2"/>
      </w:pPr>
      <w:r>
        <w:t>1.5.5 Herramientas por fase</w:t>
      </w:r>
    </w:p>
    <w:p>
      <w:pPr>
        <w:spacing w:after="160" w:line="480" w:lineRule="auto" w:before="0"/>
        <w:ind w:firstLine="720"/>
        <w:jc w:val="both"/>
      </w:pPr>
      <w:r>
        <w:rPr>
          <w:rFonts w:ascii="Times New Roman" w:cs="Times New Roman" w:eastAsia="Times New Roman" w:hAnsi="Times New Roman"/>
          <w:b w:val="false"/>
          <w:bCs w:val="false"/>
          <w:sz w:val="24"/>
          <w:szCs w:val="24"/>
        </w:rPr>
        <w:t xml:space="preserve">La Tabla 10 lista las herramientas que usaremos en cada fase del SSDLC, con la versión exacta fijada en el proyecto. Integramos las herramientas en el pipeline de GitHub Actions (SAST, SCA, análisis de infraestructura como código y de contenedores) o las ejecutamos de forma manual en la fase de evaluación (pruebas dinámicas y móviles). Cuando una herramienta aún no está instalada indicamos «vigente al instalar»: usaremos la versión estable de ese momento y la registraremos en la bitácora del proyecto.</w:t>
      </w:r>
    </w:p>
    <w:p>
      <w:pPr>
        <w:spacing w:after="160" w:before="0" w:line="480" w:lineRule="auto"/>
      </w:pPr>
      <w:r>
        <w:rPr>
          <w:rFonts w:ascii="Times New Roman" w:cs="Times New Roman" w:eastAsia="Times New Roman" w:hAnsi="Times New Roman"/>
          <w:b/>
          <w:bCs/>
          <w:sz w:val="24"/>
          <w:szCs w:val="24"/>
        </w:rPr>
        <w:t xml:space="preserve">Tabla 10</w:t>
      </w:r>
    </w:p>
    <w:p>
      <w:pPr>
        <w:spacing w:after="160" w:line="480" w:lineRule="auto" w:before="0"/>
      </w:pPr>
      <w:r>
        <w:rPr>
          <w:rFonts w:ascii="Times New Roman" w:cs="Times New Roman" w:eastAsia="Times New Roman" w:hAnsi="Times New Roman"/>
          <w:i/>
          <w:iCs/>
          <w:sz w:val="24"/>
          <w:szCs w:val="24"/>
        </w:rPr>
        <w:t xml:space="preserve">Herramientas de seguridad por fase y versión</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3050"/>
        <w:gridCol w:w="1450"/>
        <w:gridCol w:w="2560"/>
      </w:tblGrid>
      <w:tr>
        <w:trPr>
          <w:tblHeader/>
        </w:trPr>
        <w:tc>
          <w:tcPr>
            <w:tcW w:type="dxa" w:w="23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bCs/>
                <w:sz w:val="17"/>
                <w:szCs w:val="17"/>
              </w:rPr>
              <w:t xml:space="preserve">Fase</w:t>
            </w:r>
          </w:p>
        </w:tc>
        <w:tc>
          <w:tcPr>
            <w:tcW w:type="dxa" w:w="305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bCs/>
                <w:sz w:val="17"/>
                <w:szCs w:val="17"/>
              </w:rPr>
              <w:t xml:space="preserve">Herramienta</w:t>
            </w:r>
          </w:p>
        </w:tc>
        <w:tc>
          <w:tcPr>
            <w:tcW w:type="dxa" w:w="145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bCs/>
                <w:sz w:val="17"/>
                <w:szCs w:val="17"/>
              </w:rPr>
              <w:t xml:space="preserve">Versión</w:t>
            </w:r>
          </w:p>
        </w:tc>
        <w:tc>
          <w:tcPr>
            <w:tcW w:type="dxa" w:w="256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bCs/>
                <w:sz w:val="17"/>
                <w:szCs w:val="17"/>
              </w:rPr>
              <w:t xml:space="preserve">Propósito</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Modelado de amenazas</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OWASP Threat Dragon</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2.6.2</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DFD y análisis STRIDE</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SAST</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Semgrep CE</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1.179.0</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Análisis estático del código</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SAST</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CodeQL Action</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v4</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Análisis estático en GitHub</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SAST / calidad</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SonarQube Cloud</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SaaS</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Calidad y seguridad del código</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SCA</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OWASP Dependency-Check</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12.1.0</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Dependencias vulnerables</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SCA</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Snyk CLI</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1.1307.4</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Dependencias vulnerables</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SCA / contenedores / IaC</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Trivy</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0.75.0</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Dependencias, imágenes e IaC</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IaC / Dockerfile</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Checkov</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3.3.22</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Configuración de Terraform y contenedor</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Análisis de la app (APK)</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MobSF</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4.5.3</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Análisis estático y dinámico del APK</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DAST / caja negra</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OWASP ZAP</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2.17.0</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Escaneo de la API</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DAST / pentest</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Burp Suite Community</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Vigente al instalar</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Pruebas manuales de la API</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Pentest móvil</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Frida / frida-tools</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17.22.0 / 14.11.0</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Instrumentación dinámica</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Pentest móvil</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objection</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1.12.5</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Pruebas sobre el dispositivo</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Secretos</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gitleaks</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8.30.1</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Detección de secretos en el repositorio</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Auditoría de la cuenta AWS</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Prowler</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5.44.0</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Benchmark CIS de la cuenta</w:t>
            </w:r>
          </w:p>
        </w:tc>
      </w:tr>
      <w:tr>
        <w:tc>
          <w:tcPr>
            <w:tcW w:type="dxa" w:w="23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SIEM</w:t>
            </w:r>
          </w:p>
        </w:tc>
        <w:tc>
          <w:tcPr>
            <w:tcW w:type="dxa" w:w="305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Wazuh</w:t>
            </w:r>
          </w:p>
        </w:tc>
        <w:tc>
          <w:tcPr>
            <w:tcW w:type="dxa" w:w="145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4.14.8</w:t>
            </w:r>
          </w:p>
        </w:tc>
        <w:tc>
          <w:tcPr>
            <w:tcW w:type="dxa" w:w="256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7"/>
                <w:szCs w:val="17"/>
              </w:rPr>
              <w:t xml:space="preserve">Correlación y alertas</w:t>
            </w:r>
          </w:p>
        </w:tc>
      </w:tr>
    </w:tbl>
    <w:p>
      <w:pPr>
        <w:spacing w:after="160" w:before="0" w:line="480" w:lineRule="auto"/>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con las versiones fijadas en el proyecto. SAST: análisis estático. SCA: análisis de composición de software. DAST: análisis dinámico. IaC: infraestructura como código.</w:t>
      </w:r>
    </w:p>
    <w:p>
      <w:pPr>
        <w:pStyle w:val="Heading3"/>
        <w:keepNext/>
        <w:keepLines/>
        <w:spacing w:before="0" w:after="160" w:line="480" w:lineRule="auto"/>
        <w:jc w:val="left"/>
        <w:outlineLvl w:val="2"/>
      </w:pPr>
      <w:r>
        <w:t>1.5.6 Reglas de enfrentamiento del pentest</w:t>
      </w:r>
    </w:p>
    <w:p>
      <w:pPr>
        <w:spacing w:after="160" w:line="480" w:lineRule="auto" w:before="0"/>
        <w:ind w:firstLine="720"/>
        <w:jc w:val="both"/>
      </w:pPr>
      <w:r>
        <w:rPr>
          <w:rFonts w:ascii="Times New Roman" w:cs="Times New Roman" w:eastAsia="Times New Roman" w:hAnsi="Times New Roman"/>
          <w:b w:val="false"/>
          <w:bCs w:val="false"/>
          <w:sz w:val="24"/>
          <w:szCs w:val="24"/>
        </w:rPr>
        <w:t xml:space="preserve">Las pruebas de intrusión verifican que cada control funciona. Seguimos las fases de planificación, descubrimiento, ataque e informe de la guía NIST SP 800-115 (Scarfone et al., 2008) y tomamos los casos de prueba de la OWASP Web Security Testing Guide (OWASP Foundation, s. f.) para la API y del MASTG (OWASP Mobile Application Security Project, 2024) para la aplicación móvil. Ejecutamos cada caso de abuso y la evidencia del control es el bloqueo observado: un código 401, 403 o 429, un bloqueo de AWS WAF o una alerta en el SIEM. Para conducir estas pruebas de forma responsable y dentro de la política del proveedor, fijamos las siguientes reglas de enfrentamiento.</w:t>
      </w:r>
    </w:p>
    <w:p>
      <w:pPr>
        <w:spacing w:after="160" w:line="480" w:lineRule="auto" w:before="0"/>
        <w:ind w:firstLine="720"/>
        <w:jc w:val="both"/>
      </w:pPr>
      <w:r>
        <w:rPr>
          <w:rFonts w:ascii="Times New Roman" w:cs="Times New Roman" w:eastAsia="Times New Roman" w:hAnsi="Times New Roman"/>
          <w:b/>
          <w:bCs/>
          <w:sz w:val="24"/>
          <w:szCs w:val="24"/>
        </w:rPr>
        <w:t xml:space="preserve">Objetivos autorizados. </w:t>
      </w:r>
      <w:r>
        <w:rPr>
          <w:rFonts w:ascii="Times New Roman" w:cs="Times New Roman" w:eastAsia="Times New Roman" w:hAnsi="Times New Roman"/>
          <w:sz w:val="24"/>
          <w:szCs w:val="24"/>
        </w:rPr>
        <w:t xml:space="preserve">Autorizamos las pruebas de intrusión contra AWS WAF, API Gateway y las funciones Lambda de nuestra cuenta, los servicios de nuestra arquitectura que la política de AWS permite probar sin solicitud previa (AWS, s. f.-b), además de la aplicación Android sobre el emulador y de la configuración del repositorio. DynamoDB, SSM, S3 e IAM no se atacan directamente: verificamos su configuración con Checkov y Prowler, y su exposición, a través de la API. Ejecutamos las pruebas únicamente sobre el ambiente del proyecto en us-east-1, nunca sobre datos o cuentas de terceros.</w:t>
      </w:r>
    </w:p>
    <w:p>
      <w:pPr>
        <w:spacing w:after="160" w:line="480" w:lineRule="auto" w:before="0"/>
        <w:ind w:firstLine="720"/>
        <w:jc w:val="both"/>
      </w:pPr>
      <w:r>
        <w:rPr>
          <w:rFonts w:ascii="Times New Roman" w:cs="Times New Roman" w:eastAsia="Times New Roman" w:hAnsi="Times New Roman"/>
          <w:b/>
          <w:bCs/>
          <w:sz w:val="24"/>
          <w:szCs w:val="24"/>
        </w:rPr>
        <w:t xml:space="preserve">Fuera de alcance. </w:t>
      </w:r>
      <w:r>
        <w:rPr>
          <w:rFonts w:ascii="Times New Roman" w:cs="Times New Roman" w:eastAsia="Times New Roman" w:hAnsi="Times New Roman"/>
          <w:sz w:val="24"/>
          <w:szCs w:val="24"/>
        </w:rPr>
        <w:t xml:space="preserve">Quedan excluidos el inicio de sesión administrado de Amazon Cognito, cualquier servicio compartido o gestionado de AWS en su plano interno, y los activos que el enunciado del proyecto declara fuera de alcance (iOS, cliente web, tarjetas, integración bancaria y KYC).</w:t>
      </w:r>
    </w:p>
    <w:p>
      <w:pPr>
        <w:spacing w:after="160" w:line="480" w:lineRule="auto" w:before="0"/>
        <w:ind w:firstLine="720"/>
        <w:jc w:val="both"/>
      </w:pPr>
      <w:r>
        <w:rPr>
          <w:rFonts w:ascii="Times New Roman" w:cs="Times New Roman" w:eastAsia="Times New Roman" w:hAnsi="Times New Roman"/>
          <w:b/>
          <w:bCs/>
          <w:sz w:val="24"/>
          <w:szCs w:val="24"/>
        </w:rPr>
        <w:t xml:space="preserve">Ventanas de prueba. </w:t>
      </w:r>
      <w:r>
        <w:rPr>
          <w:rFonts w:ascii="Times New Roman" w:cs="Times New Roman" w:eastAsia="Times New Roman" w:hAnsi="Times New Roman"/>
          <w:sz w:val="24"/>
          <w:szCs w:val="24"/>
        </w:rPr>
        <w:t xml:space="preserve">Activamos AWS WAF solo en los días de prueba para contener el costo; fuera de esas ventanas, la defensa de borde es el throttling de API Gateway y Shield Standard. Las pruebas que dependen del WAF, como el bloqueo de cargas maliciosas de las categorías del OWASP Top 10:2025 (OWASP Foundation, 2025), las programamos y documentamos dentro de esas ventanas, con fecha y hora visibles en la evidencia.</w:t>
      </w:r>
    </w:p>
    <w:p>
      <w:pPr>
        <w:spacing w:after="160" w:line="480" w:lineRule="auto" w:before="0"/>
        <w:ind w:firstLine="720"/>
        <w:jc w:val="both"/>
      </w:pPr>
      <w:r>
        <w:rPr>
          <w:rFonts w:ascii="Times New Roman" w:cs="Times New Roman" w:eastAsia="Times New Roman" w:hAnsi="Times New Roman"/>
          <w:b/>
          <w:bCs/>
          <w:sz w:val="24"/>
          <w:szCs w:val="24"/>
        </w:rPr>
        <w:t xml:space="preserve">Límites de la política de pentest de AWS. </w:t>
      </w:r>
      <w:r>
        <w:rPr>
          <w:rFonts w:ascii="Times New Roman" w:cs="Times New Roman" w:eastAsia="Times New Roman" w:hAnsi="Times New Roman"/>
          <w:sz w:val="24"/>
          <w:szCs w:val="24"/>
        </w:rPr>
        <w:t xml:space="preserve">La política de pruebas de intrusión de AWS (AWS, s. f.-b) permite probar un conjunto de servicios autorizados sin solicitud previa, pero prohíbe la denegación de servicio (DoS) y la inundación de solicitudes, incluso simulada, tanto en el inicio de sesión como en la API, y no incluye a Amazon Cognito entre los servicios cuyo plano gestionado pueda atacarse. En consecuencia, no ejecutamos ataques de volumen ni fuerza bruta sostenida; las pruebas de bloqueo (códigos 429 y bloqueo del PIN) las realizamos con ráfagas cortas contra umbrales configurados en valores bajos, y la robustez del inicio de sesión de Cognito la verificamos por configuración, no por ataque.</w:t>
      </w:r>
    </w:p>
    <w:p>
      <w:pPr>
        <w:spacing w:after="160" w:line="480" w:lineRule="auto" w:before="0"/>
        <w:ind w:firstLine="720"/>
        <w:jc w:val="both"/>
      </w:pPr>
      <w:r>
        <w:rPr>
          <w:rFonts w:ascii="Times New Roman" w:cs="Times New Roman" w:eastAsia="Times New Roman" w:hAnsi="Times New Roman"/>
          <w:b/>
          <w:bCs/>
          <w:sz w:val="24"/>
          <w:szCs w:val="24"/>
        </w:rPr>
        <w:t xml:space="preserve">Manejo de evidencias. </w:t>
      </w:r>
      <w:r>
        <w:rPr>
          <w:rFonts w:ascii="Times New Roman" w:cs="Times New Roman" w:eastAsia="Times New Roman" w:hAnsi="Times New Roman"/>
          <w:sz w:val="24"/>
          <w:szCs w:val="24"/>
        </w:rPr>
        <w:t xml:space="preserve">Nombramos cada evidencia como EVD-&lt;fase&gt;-&lt;nn&gt;_&lt;descripción&gt; y, cuando es posible, incluimos en ella la fecha y la hora. Antes de capturar ocultamos el identificador de la cuenta AWS, los correos y los tokens. Para cada ataque grabamos además un video corto que servirá en la presentación. Versionamos las evidencias en el repositorio bajo docs/evidencias.</w:t>
      </w:r>
    </w:p>
    <w:p>
      <w:pPr>
        <w:spacing w:after="160" w:line="480" w:lineRule="auto" w:before="0"/>
        <w:ind w:firstLine="720"/>
        <w:jc w:val="both"/>
      </w:pPr>
      <w:r>
        <w:rPr>
          <w:rFonts w:ascii="Times New Roman" w:cs="Times New Roman" w:eastAsia="Times New Roman" w:hAnsi="Times New Roman"/>
          <w:b/>
          <w:bCs/>
          <w:sz w:val="24"/>
          <w:szCs w:val="24"/>
        </w:rPr>
        <w:t xml:space="preserve">Vulnerabilidad en un servicio de AWS. </w:t>
      </w:r>
      <w:r>
        <w:rPr>
          <w:rFonts w:ascii="Times New Roman" w:cs="Times New Roman" w:eastAsia="Times New Roman" w:hAnsi="Times New Roman"/>
          <w:sz w:val="24"/>
          <w:szCs w:val="24"/>
        </w:rPr>
        <w:t xml:space="preserve">Si una herramienta reporta una vulnerabilidad en el plano gestionado de un servicio de AWS (no en nuestra configuración), detenemos la prueba, no la explotamos más allá de la confirmación mínima y la reportamos por el canal de divulgación de AWS. Nuestro alcance se limita a la configuración y el código propios; la seguridad de la infraestructura subyacente corresponde a AWS bajo el modelo de responsabilidad compartida (AWS, s. f.-c).</w:t>
      </w:r>
    </w:p>
    <w:p>
      <w:pPr>
        <w:spacing w:after="160" w:line="480" w:lineRule="auto" w:before="0"/>
        <w:ind w:firstLine="720"/>
        <w:jc w:val="both"/>
      </w:pPr>
      <w:r>
        <w:rPr>
          <w:rFonts w:ascii="Times New Roman" w:cs="Times New Roman" w:eastAsia="Times New Roman" w:hAnsi="Times New Roman"/>
          <w:b w:val="false"/>
          <w:bCs w:val="false"/>
          <w:sz w:val="24"/>
          <w:szCs w:val="24"/>
        </w:rPr>
        <w:t xml:space="preserve">Revisamos los trece casos de abuso existentes (CA-01 a CA-13) frente a esta política. La mayoría son pruebas de autorización, validación, concurrencia breve, almacenamiento, fijación de certificado, RASP y secretos, que no inundan ni atacan a Cognito. Tres infringen la prohibición de inundación y requieren rediseño (CA-02, CA-03 y CA-12); uno queda en el límite y lo acotamos a una ráfaga mínima (CA-06), y en CA-13 excluimos la variante que fuerza el inicio de sesión de Cognito. Además, dos de los casos nuevos del modelo de amenazas (CA-14 y CA-16) también tocan la política. La Tabla 11 resume la revisión.</w:t>
      </w:r>
    </w:p>
    <w:p>
      <w:pPr>
        <w:spacing w:after="160" w:before="0" w:line="480" w:lineRule="auto"/>
      </w:pPr>
      <w:r>
        <w:rPr>
          <w:rFonts w:ascii="Times New Roman" w:cs="Times New Roman" w:eastAsia="Times New Roman" w:hAnsi="Times New Roman"/>
          <w:b/>
          <w:bCs/>
          <w:sz w:val="24"/>
          <w:szCs w:val="24"/>
        </w:rPr>
        <w:t xml:space="preserve">Tabla 11</w:t>
      </w:r>
    </w:p>
    <w:p>
      <w:pPr>
        <w:spacing w:after="160" w:line="480" w:lineRule="auto" w:before="0"/>
      </w:pPr>
      <w:r>
        <w:rPr>
          <w:rFonts w:ascii="Times New Roman" w:cs="Times New Roman" w:eastAsia="Times New Roman" w:hAnsi="Times New Roman"/>
          <w:i/>
          <w:iCs/>
          <w:sz w:val="24"/>
          <w:szCs w:val="24"/>
        </w:rPr>
        <w:t xml:space="preserve">Revisión de los casos de abuso frente a la política de pentest de AWS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0"/>
        <w:gridCol w:w="2300"/>
        <w:gridCol w:w="1100"/>
        <w:gridCol w:w="2240"/>
        <w:gridCol w:w="3000"/>
      </w:tblGrid>
      <w:tr>
        <w:trPr>
          <w:tblHeader/>
        </w:trPr>
        <w:tc>
          <w:tcPr>
            <w:tcW w:type="dxa" w:w="72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bCs/>
                <w:sz w:val="15"/>
                <w:szCs w:val="15"/>
              </w:rPr>
              <w:t xml:space="preserve">CA</w:t>
            </w:r>
          </w:p>
        </w:tc>
        <w:tc>
          <w:tcPr>
            <w:tcW w:type="dxa" w:w="23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bCs/>
                <w:sz w:val="15"/>
                <w:szCs w:val="15"/>
              </w:rPr>
              <w:t xml:space="preserve">Abuso probado</w:t>
            </w:r>
          </w:p>
        </w:tc>
        <w:tc>
          <w:tcPr>
            <w:tcW w:type="dxa" w:w="11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bCs/>
                <w:sz w:val="15"/>
                <w:szCs w:val="15"/>
              </w:rPr>
              <w:t xml:space="preserve">Control</w:t>
            </w:r>
          </w:p>
        </w:tc>
        <w:tc>
          <w:tcPr>
            <w:tcW w:type="dxa" w:w="224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bCs/>
                <w:sz w:val="15"/>
                <w:szCs w:val="15"/>
              </w:rPr>
              <w:t xml:space="preserve">¿Infringe la política?</w:t>
            </w:r>
          </w:p>
        </w:tc>
        <w:tc>
          <w:tcPr>
            <w:tcW w:type="dxa" w:w="30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bCs/>
                <w:sz w:val="15"/>
                <w:szCs w:val="15"/>
              </w:rPr>
              <w:t xml:space="preserve">Rediseño</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CA-01</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Leer movimientos de una cuenta ajena</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CTRL-01</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No</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Sin cambio; una solicitud autorizada</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CA-02</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Fuerza bruta del PIN</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CTRL-02</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Sí (inundación a la API)</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Ráfaga corta: 6 intentos contra un umbral de 5, mostrar el bloqueo. El PIN es propio, no toca Cognito</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CA-03</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Enumerar usuarios por teléfono</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CTRL-03, CTRL-05</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Sí (el 429 a escala es inundación)</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Pocas solicitudes para el enmascaramiento; para el 429, umbral bajo y 2 o 3 disparos</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CA-04</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PATCH /me con role=admin</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CTRL-04</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No</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Sin cambio; una solicitud</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CA-05</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limit muy alto en movimientos</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CTRL-05</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No</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Sin cambio; una solicitud</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CA-06</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Transferencias concurrentes con la misma clave</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CTRL-06</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Límite (ráfaga breve, no inundación)</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Ráfaga mínima (10 a 20 concurrentes, una vez); sin volumen sostenido</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CA-07</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Extraer tokens del dispositivo</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CTRL-07</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No (local)</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Sin cambio</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CA-08</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MITM con certificado de Burp</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CTRL-08</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No (local)</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Sin cambio</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CA-09</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Acceder a /admin/* como cliente</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CTRL-14</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No</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Sin cambio; una solicitud</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CA-10</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Hooking y root con Frida</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CTRL-15</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No (local)</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Sin cambio</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CA-11</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Buscar secretos en el APK</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CTRL-16</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No (estático)</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Sin cambio</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CA-12</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Payloads OWASP para el WAF</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CTRL-17</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Sí (el fuzzing masivo es DoS)</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Payloads individuales, uno por uno; sin fuzzing masivo</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CA-13</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Token JWT alterado</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CTRL-18</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No (contra API Gateway)</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Sin cambio; se excluye la variante de forzar el inicio de sesión de Cognito</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CA-14*</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Credential stuffing y phishing de credenciales</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CTRL-18</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Sí (ataca el login de Cognito y es inundación)</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No ejecutar contra Cognito; verificar MFA y bloqueo por configuración</w:t>
            </w:r>
          </w:p>
        </w:tc>
      </w:tr>
      <w:tr>
        <w:tc>
          <w:tcPr>
            <w:tcW w:type="dxa" w:w="72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CA-16*</w:t>
            </w:r>
          </w:p>
        </w:tc>
        <w:tc>
          <w:tcPr>
            <w:tcW w:type="dxa" w:w="23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Saturación de la API y consumo de costo</w:t>
            </w:r>
          </w:p>
        </w:tc>
        <w:tc>
          <w:tcPr>
            <w:tcW w:type="dxa" w:w="11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CTRL-17, CTRL-05</w:t>
            </w:r>
          </w:p>
        </w:tc>
        <w:tc>
          <w:tcPr>
            <w:tcW w:type="dxa" w:w="224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Sí (es DoS por definición)</w:t>
            </w:r>
          </w:p>
        </w:tc>
        <w:tc>
          <w:tcPr>
            <w:tcW w:type="dxa" w:w="30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360" w:lineRule="auto" w:before="0"/>
              <w:jc w:val="left"/>
            </w:pPr>
            <w:r>
              <w:rPr>
                <w:rFonts w:ascii="Times New Roman" w:cs="Times New Roman" w:eastAsia="Times New Roman" w:hAnsi="Times New Roman"/>
                <w:b w:val="false"/>
                <w:bCs w:val="false"/>
                <w:sz w:val="15"/>
                <w:szCs w:val="15"/>
              </w:rPr>
              <w:t xml:space="preserve">No ejecutar inundación real; verificar el throttling y la regla rate-based y mostrar el bloqueo con una ráfaga corta</w:t>
            </w:r>
          </w:p>
        </w:tc>
      </w:tr>
    </w:tbl>
    <w:p>
      <w:pPr>
        <w:spacing w:after="160" w:before="0" w:line="480" w:lineRule="auto"/>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CA-14 y CA-16, marcados con asterisco, son casos propuestos en el modelo de amenazas que no forman parte del catálogo de trece casos de OE3; los incluimos porque también tocan la política. No se ejecutan como ataque: se verifican por configuración, por lo que no producen la evidencia de bloqueo que exige OE3. Los demás casos propuestos en el modelo (CA-15 y CA-17 a CA-25) no se adoptaron en el catálogo. MITM: ataque de intermediario.</w:t>
      </w:r>
    </w:p>
    <w:p>
      <w:pPr>
        <w:pStyle w:val="Heading1"/>
        <w:keepNext/>
        <w:keepLines/>
        <w:pageBreakBefore/>
        <w:spacing w:before="0" w:after="160" w:line="480" w:lineRule="auto"/>
        <w:jc w:val="center"/>
        <w:outlineLvl w:val="0"/>
      </w:pPr>
      <w:r>
        <w:t>2. Activos y Riesgos</w:t>
      </w:r>
    </w:p>
    <w:p>
      <w:pPr>
        <w:spacing w:before="0" w:after="160" w:line="480" w:lineRule="auto"/>
        <w:ind w:firstLine="720"/>
        <w:jc w:val="both"/>
      </w:pPr>
      <w:r>
        <w:t xml:space="preserve">En esta sección identificamos los activos de Q-Wallet, los valoramos según la tríada de confidencialidad, integridad y disponibilidad (CIA), modelamos las amenazas que los afectan con STRIDE, las valoramos con DREAD y las llevamos a una matriz de probabilidad por impacto (P×I). Seguimos el proceso de valoración de riesgos de ISO/IEC 27005:2022 (ISO e IEC, 2022b): primero el contexto y los activos, luego la identificación de amenazas y, por último, el análisis y la evaluación del riesgo. Toda la valoración de esta sección corresponde al </w:t>
      </w:r>
      <w:r>
        <w:rPr>
          <w:b/>
        </w:rPr>
        <w:t>riesgo inherente</w:t>
      </w:r>
      <w:r>
        <w:t>, es decir, el riesgo de cada amenaza sin considerar los controles. Como Q-Wallet se construye segura desde el diseño, el riesgo inherente no describe una versión real de la aplicación, sino el punto de partida contra el que mediremos el riesgo residual una vez que los controles estén implementados y verificados por pruebas.</w:t>
      </w:r>
    </w:p>
    <w:p>
      <w:pPr>
        <w:spacing w:before="0" w:after="160" w:line="480" w:lineRule="auto"/>
        <w:ind w:firstLine="720"/>
        <w:jc w:val="both"/>
      </w:pPr>
      <w:r>
        <w:t xml:space="preserve">Las escalas de valoración son fijas para todo el proyecto y se aplican sin cambios en cada subsección. Los datos de amenazas provienen del modelo de amenazas T2, elaborado en OWASP Threat Dragon (versión 2 del modelo, 41 amenazas sobre tres diagramas de flujo de datos), que se conserva en el repositorio público del proyecto (github.com/dbarrios95/q-wallet).</w:t>
      </w:r>
    </w:p>
    <w:p>
      <w:pPr>
        <w:pStyle w:val="Heading2"/>
        <w:keepNext/>
        <w:keepLines/>
        <w:spacing w:before="0" w:after="160" w:line="480" w:lineRule="auto"/>
        <w:jc w:val="left"/>
        <w:outlineLvl w:val="1"/>
      </w:pPr>
      <w:r>
        <w:t>2.1 Inventario de activos</w:t>
      </w:r>
    </w:p>
    <w:p>
      <w:pPr>
        <w:spacing w:before="0" w:after="160" w:line="480" w:lineRule="auto"/>
        <w:ind w:firstLine="720"/>
        <w:jc w:val="both"/>
      </w:pPr>
      <w:r>
        <w:t>Construimos el inventario siguiendo el control 5.9 del Anexo A de ISO/IEC 27001:2022 (ISO e IEC, 2022a), que pide identificar la información y los demás activos asociados, junto con sus propietarios. Partimos de una lista semilla de 27 activos definida al inicio del proyecto y la completamos con un activo adicional, el SIEM Wazuh (ACT-28), porque el modelo de amenazas lo identifica como objetivo de dos amenazas (AME-31 y AME-41) y no estaba en la semilla. También renombramos el activo ACT-27 como «Alineación regulatoria (referencia JM-98-2025)», dado que Q-Wallet, S.A. no es una entidad supervisada y el diseño se hace con referencia a esa resolución, no en cumplimiento de ella. El resultado son 28 activos distribuidos en los seis tipos del enunciado: información (9), software (9), físico (3), personal (2), servicios (3), empresa (2).</w:t>
      </w:r>
    </w:p>
    <w:p>
      <w:pPr>
        <w:spacing w:before="0" w:after="160" w:line="480" w:lineRule="auto"/>
        <w:ind w:firstLine="720"/>
        <w:jc w:val="both"/>
      </w:pPr>
      <w:r>
        <w:t xml:space="preserve">Para cada activo registramos el proceso de negocio al que sirve (las funciones F1 a F7 de Q-Wallet o un proceso de soporte), su descripción, tipo, ubicación, valoración CIA con su justificación y las personas responsables. El </w:t>
      </w:r>
      <w:r>
        <w:rPr>
          <w:b/>
        </w:rPr>
        <w:t>propietario</w:t>
      </w:r>
      <w:r>
        <w:t xml:space="preserve"> es quien responde por el activo y decide su nivel de protección; el </w:t>
      </w:r>
      <w:r>
        <w:rPr>
          <w:b/>
        </w:rPr>
        <w:t>custodio</w:t>
      </w:r>
      <w:r>
        <w:t xml:space="preserve"> es quien lo opera y aplica los controles en el día a día. Asignamos estos roles según la organización ficticia del proyecto: Gerente de Producto para los activos de negocio (un rol de la organización ficticia que no ejerce ningún integrante del equipo y que representa a quien aprueba el tratamiento de los riesgos del negocio), Lead Security Architect (I1, Daniel Edivin Barrios Monzón) para los activos técnicos y de seguridad, DevSecOps Engineer (I2, Katherine Johana Sandoval Monterroso) como custodio de la infraestructura y Pentester / Analista de Riesgos (I3, Aroldo Francisco Lolmet Calel) como custodio del análisis de riesgos. Para los activos de terceros (AWS) el propietario interno gestiona la relación con el proveedor y el custodio es el propio proveedor, conforme al modelo de responsabilidad compartida (AWS, s. f.-c). El dispositivo del cliente (ACT-18) es propiedad del propio cliente; por eso el dueño de su riesgo es el Gerente de Producto (sección 2.5.2). La Tabla 12 presenta el inventario completo.</w:t>
      </w:r>
    </w:p>
    <w:p>
      <w:pPr>
        <w:spacing w:before="0" w:after="160" w:line="480" w:lineRule="auto"/>
        <w:sectPr>
          <w:headerReference w:type="default" r:id="rId7"/>
          <w:pgSz w:w="12240" w:h="15840"/>
          <w:pgMar w:top="1440" w:right="1440" w:bottom="1440" w:left="1440" w:header="720" w:footer="720" w:gutter="0"/>
          <w:pgNumType/>
          <w:cols w:space="720"/>
          <w:docGrid w:linePitch="360"/>
        </w:sectPr>
      </w:pPr>
    </w:p>
    <w:p>
      <w:pPr>
        <w:keepNext/>
        <w:spacing w:before="0" w:line="480" w:lineRule="auto" w:after="160"/>
      </w:pPr>
      <w:r>
        <w:rPr>
          <w:b/>
        </w:rPr>
        <w:t>Tabla 12</w:t>
      </w:r>
    </w:p>
    <w:p>
      <w:pPr>
        <w:keepNext/>
        <w:spacing w:line="480" w:lineRule="auto" w:after="160" w:before="0"/>
      </w:pPr>
      <w:r>
        <w:rPr>
          <w:i/>
        </w:rPr>
        <w:t>Inventario de activos de Q-Wallet según ISO/IEC 27001:2022</w:t>
      </w:r>
    </w:p>
    <w:tbl>
      <w:tblPr>
        <w:tblW w:w="12880" w:type="dxa"/>
        <w:jc w:val="center"/>
        <w:tblLayout w:type="fixed"/>
        <w:tblLook w:firstColumn="1" w:firstRow="1" w:lastColumn="0" w:lastRow="0" w:noHBand="0" w:noVBand="1" w:val="04A0"/>
      </w:tblPr>
      <w:tblGrid>
        <w:gridCol w:w="660"/>
        <w:gridCol w:w="1150"/>
        <w:gridCol w:w="1000"/>
        <w:gridCol w:w="1500"/>
        <w:gridCol w:w="860"/>
        <w:gridCol w:w="950"/>
        <w:gridCol w:w="270"/>
        <w:gridCol w:w="270"/>
        <w:gridCol w:w="270"/>
        <w:gridCol w:w="480"/>
        <w:gridCol w:w="760"/>
        <w:gridCol w:w="2000"/>
        <w:gridCol w:w="880"/>
        <w:gridCol w:w="880"/>
        <w:gridCol w:w="950"/>
      </w:tblGrid>
      <w:tr>
        <w:trPr>
          <w:cantSplit/>
          <w:tblHeader/>
        </w:trPr>
        <w:tc>
          <w:tcPr>
            <w:tcW w:type="dxa" w:w="66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3"/>
              </w:rPr>
              <w:t>ID</w:t>
            </w:r>
          </w:p>
        </w:tc>
        <w:tc>
          <w:tcPr>
            <w:tcW w:type="dxa" w:w="115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3"/>
              </w:rPr>
              <w:t>Nombre</w:t>
            </w:r>
          </w:p>
        </w:tc>
        <w:tc>
          <w:tcPr>
            <w:tcW w:type="dxa" w:w="10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3"/>
              </w:rPr>
              <w:t>Proceso asociado</w:t>
            </w:r>
          </w:p>
        </w:tc>
        <w:tc>
          <w:tcPr>
            <w:tcW w:type="dxa" w:w="15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3"/>
              </w:rPr>
              <w:t>Descripción</w:t>
            </w:r>
          </w:p>
        </w:tc>
        <w:tc>
          <w:tcPr>
            <w:tcW w:type="dxa" w:w="86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3"/>
              </w:rPr>
              <w:t>Tipo</w:t>
            </w:r>
          </w:p>
        </w:tc>
        <w:tc>
          <w:tcPr>
            <w:tcW w:type="dxa" w:w="95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3"/>
              </w:rPr>
              <w:t>Ubicación</w:t>
            </w:r>
          </w:p>
        </w:tc>
        <w:tc>
          <w:tcPr>
            <w:tcW w:type="dxa" w:w="27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3"/>
              </w:rPr>
              <w:t>C</w:t>
            </w:r>
          </w:p>
        </w:tc>
        <w:tc>
          <w:tcPr>
            <w:tcW w:type="dxa" w:w="27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3"/>
              </w:rPr>
              <w:t>I</w:t>
            </w:r>
          </w:p>
        </w:tc>
        <w:tc>
          <w:tcPr>
            <w:tcW w:type="dxa" w:w="27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3"/>
              </w:rPr>
              <w:t>D</w:t>
            </w:r>
          </w:p>
        </w:tc>
        <w:tc>
          <w:tcPr>
            <w:tcW w:type="dxa" w:w="48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3"/>
              </w:rPr>
              <w:t>Valor</w:t>
            </w:r>
          </w:p>
        </w:tc>
        <w:tc>
          <w:tcPr>
            <w:tcW w:type="dxa" w:w="76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3"/>
              </w:rPr>
              <w:t>Criticidad</w:t>
            </w:r>
          </w:p>
        </w:tc>
        <w:tc>
          <w:tcPr>
            <w:tcW w:type="dxa" w:w="20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3"/>
              </w:rPr>
              <w:t>Justificación</w:t>
            </w:r>
          </w:p>
        </w:tc>
        <w:tc>
          <w:tcPr>
            <w:tcW w:type="dxa" w:w="88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3"/>
              </w:rPr>
              <w:t>Propietario</w:t>
            </w:r>
          </w:p>
        </w:tc>
        <w:tc>
          <w:tcPr>
            <w:tcW w:type="dxa" w:w="88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3"/>
              </w:rPr>
              <w:t>Custodio</w:t>
            </w:r>
          </w:p>
        </w:tc>
        <w:tc>
          <w:tcPr>
            <w:tcW w:type="dxa" w:w="95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3"/>
              </w:rPr>
              <w:t>Usuarios con acceso</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ACT-01</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Datos personales de clientes</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F1 Registro; F4 búsqueda por teléfono; F7 Administración</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Nombre, DPI, teléfono y correo de cada cliente.</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Información</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Cloud: DynamoDB y Cognito</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7</w:t>
            </w:r>
          </w:p>
        </w:tc>
        <w:tc>
          <w:tcPr>
            <w:tcW w:type="dxa" w:w="76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3"/>
              </w:rPr>
              <w:t>Alta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Alta: el DPI y el teléfono permiten suplantar identidad. I Media: un dato erróneo se corrige por soporte. D Media: su falta impide operar, sin pérdida de dinero.</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Gerente de Producto</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Cliente (propios); svc-profile; svc-admin; Soporte (enmascarado, CTRL-03)</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ACT-02</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Saldos y movimientos</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F3 Consulta; F4 Transferencia; F6 Control de gastos</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Saldo en GTQ (enteros en centavos) e historial de transacciones.</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Información</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Cloud: DynamoDB</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9</w:t>
            </w:r>
          </w:p>
        </w:tc>
        <w:tc>
          <w:tcPr>
            <w:tcW w:type="dxa" w:w="76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3"/>
              </w:rPr>
              <w:t>Crítica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Alta: revela la situación financiera. I Alta: alterarlo crea o destruye dinero. D Alta: sin saldo la billetera no opera.</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Gerente de Producto</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Cliente (cuenta propia); svc-accounts; svc-transfers; svc-budgets</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ACT-03</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Credenciales y tokens</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F1 Inicio de sesión; F2 Desbloqueo biométrico</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Contraseña y semilla TOTP en Cognito; tokens JWT (acceso, ID, refresh) en el dispositivo.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Información</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Cloud: Cognito / Dispositivo: Keystore</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8</w:t>
            </w:r>
          </w:p>
        </w:tc>
        <w:tc>
          <w:tcPr>
            <w:tcW w:type="dxa" w:w="76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3"/>
              </w:rPr>
              <w:t>Crítica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Alta: dan acceso a la cuenta. I Alta: un token alterado permite suplantar. D Media: se reemiten con un nuevo inicio de sesión.</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 xml:space="preserve">DevSecOps Engineer (I2) en Cognito; Cliente en el dispositivo</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Cliente; Cognito; API Gateway (authorizer)</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ACT-04</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PIN de transacción (hash)</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F4 Transferencia</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Hash scrypt con sal del PIN y contador de intentos fallidos.</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Información</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Cloud: DynamoDB</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8</w:t>
            </w:r>
          </w:p>
        </w:tc>
        <w:tc>
          <w:tcPr>
            <w:tcW w:type="dxa" w:w="76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3"/>
              </w:rPr>
              <w:t>Crítica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Alta: con el hash se intenta fuerza bruta fuera de línea. I Alta: alterar el contador anula el bloqueo. D Media: el PIN se puede restablecer.</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svc-profile (POST /pin); svc-transfers</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ACT-05</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Registros de auditoría</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F7 Administración; monitoreo</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Logs JSON con correlationId y eventos de CloudTrail exportados a S3.</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Información</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Cloud: CloudWatch Logs y S3</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7</w:t>
            </w:r>
          </w:p>
        </w:tc>
        <w:tc>
          <w:tcPr>
            <w:tcW w:type="dxa" w:w="76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3"/>
              </w:rPr>
              <w:t>Alta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Media: por diseño no llevan tokens ni PII (CTRL-09). I Alta: sostienen el no repudio. D Media: se usan en investigaciones, no en la operación.</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Lambdas (escritura); Soporte (GET /admin/audit); Wazuh y Pentester (lectura)</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ACT-06</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Llaves KMS (CMK)</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Cifrado en reposo de todos los procesos</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Llave administrada por el cliente, con rotación anual, para DynamoDB, S3 y CloudWatch Logs.</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Información</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Cloud: AWS KMS</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9</w:t>
            </w:r>
          </w:p>
        </w:tc>
        <w:tc>
          <w:tcPr>
            <w:tcW w:type="dxa" w:w="76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3"/>
              </w:rPr>
              <w:t>Crítica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Alta: su uso indebido descifra todos los datos. I Alta: una política alterada da acceso a terceros. D Alta: si se deshabilita, los datos quedan inaccesibles.</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Roles IAM de las Lambdas (cifrar/descifrar); DevSecOps (administración)</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ACT-07</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Secretos de configuración (SSM)</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Todos los servicios</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Parámetros SecureString con la configuración sensible de los servicios.</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Información</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Cloud: SSM Parameter Store</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8</w:t>
            </w:r>
          </w:p>
        </w:tc>
        <w:tc>
          <w:tcPr>
            <w:tcW w:type="dxa" w:w="76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3"/>
              </w:rPr>
              <w:t>Crítica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Alta: abren acceso a otros servicios. I Alta: un valor alterado cambia el comportamiento. D Media: se restablecen desde la IaC.</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Rol IAM de cada Lambda (solo sus parámetros); DevSecOps</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ACT-08</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Código fuente</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Desarrollo seguro (SSDLC)</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Código de la app, los cinco servicios y la IaC en el repositorio q-wallet.</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Información</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Repositorio: GitHub (público)</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B</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6</w:t>
            </w:r>
          </w:p>
        </w:tc>
        <w:tc>
          <w:tcPr>
            <w:tcW w:type="dxa" w:w="76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3"/>
              </w:rPr>
              <w:t>Alta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Baja: el repositorio es público por decisión y el diseño no depende de ocultar el código. I Alta: un cambio malicioso llega a producción. D Media: existen copias locales.</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Equipo (escritura por PR); público (lectura)</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ACT-09</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Estado de Terraform</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Despliegue de infraestructura</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Archivo de estado con identificadores y atributos de los recursos AWS.</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Información</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Cloud: bucket S3 de estado con bloqueo nativo (use_lockfile), cifrado SSE-KMS, versionado y Block Public Access</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8</w:t>
            </w:r>
          </w:p>
        </w:tc>
        <w:tc>
          <w:tcPr>
            <w:tcW w:type="dxa" w:w="76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3"/>
              </w:rPr>
              <w:t>Crítica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Alta: puede guardar atributos sensibles. I Alta: un estado alterado provoca cambios no deseados. D Media: se reconstruye importando recursos.</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DevSecOps; GitHub Actions (rol OIDC)</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ACT-10</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App Android Q-Wallet</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F1 a F6</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APK de React Native/Expo con Hermes, R8, freeRASP y pinning.</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Software</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Dispositivo del cliente</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B</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6</w:t>
            </w:r>
          </w:p>
        </w:tc>
        <w:tc>
          <w:tcPr>
            <w:tcW w:type="dxa" w:w="76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3"/>
              </w:rPr>
              <w:t>Alta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Baja: el APK es público y no contiene secretos (CTRL-16). I Alta: una app alterada engaña al cliente. D Media: sin la app no hay acceso.</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Gerente de Producto</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Clientes</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ACT-11</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Microservicios Lambda (5)</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F3 a F7</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svc-profile, svc-accounts, svc-transfers, svc-budgets y svc-admin (Node.js 24, imagen de contenedor, rol IAM propio).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Software</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Cloud: AWS Lambda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8</w:t>
            </w:r>
          </w:p>
        </w:tc>
        <w:tc>
          <w:tcPr>
            <w:tcW w:type="dxa" w:w="76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3"/>
              </w:rPr>
              <w:t>Crítica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Media: procesan datos sensibles sin almacenarlos. I Alta: contienen la lógica de negocio. D Alta: sin ellos no opera ninguna función.</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API Gateway (invocación); GitHub Actions (despliegue)</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ACT-12</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API Gateway REST</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F1 a F7</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Entrada única con Cognito Authorizer, throttling y validación de solicitudes.</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Software</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Cloud: Amazon API Gateway</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B</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7</w:t>
            </w:r>
          </w:p>
        </w:tc>
        <w:tc>
          <w:tcPr>
            <w:tcW w:type="dxa" w:w="76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3"/>
              </w:rPr>
              <w:t>Alta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Baja: el endpoint es público por diseño. I Alta: una ruta mal configurada expone servicios. D Alta: es el único punto de entrada.</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Clientes y administradores (vía app o API); DevSecOps (configuración)</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ACT-13</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Cognito User Pool</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F1 Registro e inicio de sesión; F7</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Directorio de identidades con managed login, MFA TOTP y grupo admins.</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Software</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Cloud: Amazon Cognito</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9</w:t>
            </w:r>
          </w:p>
        </w:tc>
        <w:tc>
          <w:tcPr>
            <w:tcW w:type="dxa" w:w="76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3"/>
              </w:rPr>
              <w:t>Crítica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Alta: guarda credenciales e identidades. I Alta: decide quién es cada usuario y su grupo. D Alta: sin él nadie inicia sesión.</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Clientes y administradores (inicio de sesión); DevSecOps (configuración)</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ACT-14</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DynamoDB</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F3 a F7</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Tablas de perfiles, cuentas, transferencias, beneficiarios, presupuestos e idempotencia, cifradas con la CMK.</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Software</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Cloud: Amazon DynamoDB</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9</w:t>
            </w:r>
          </w:p>
        </w:tc>
        <w:tc>
          <w:tcPr>
            <w:tcW w:type="dxa" w:w="76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3"/>
              </w:rPr>
              <w:t>Crítica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Alta: concentra datos personales y financieros. I Alta: guarda los saldos. D Alta: sin la base no opera la billetera.</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Rol IAM de cada Lambda (solo sus tablas); DevSecOps</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ACT-15</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Imágenes de contenedor (ECR)</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Despliegue</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Imágenes de los cinco servicios construidas en CI, con base fijada por digest.</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Software</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Cloud: Amazon ECR</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7</w:t>
            </w:r>
          </w:p>
        </w:tc>
        <w:tc>
          <w:tcPr>
            <w:tcW w:type="dxa" w:w="76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3"/>
              </w:rPr>
              <w:t>Alta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Media: contienen el código compilado. I Alta: una imagen alterada corre con el rol de la Lambda. D Media: se reconstruyen desde el pipeline.</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GitHub Actions (push); Lambda (pull)</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ACT-16</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Pipeline CI/CD</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Despliegue; SSDLC</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Workflows de GitHub Actions con SAST, SCA, análisis de IaC y despliegue por OIDC.</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Software</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Repositorio: GitHub Actions</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B</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6</w:t>
            </w:r>
          </w:p>
        </w:tc>
        <w:tc>
          <w:tcPr>
            <w:tcW w:type="dxa" w:w="76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3"/>
              </w:rPr>
              <w:t>Alta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Media: conoce la estructura de despliegue. I Alta: puede desplegar código malicioso. D Baja: su caída detiene despliegues, no el servicio.</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Equipo (vía PR); rol OIDC en AWS</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ACT-17</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Dependencias npm</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Desarrollo</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Paquetes de terceros de la app y los servicios, fijados con --save-exact y package-lock.</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Software</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Repositorio / registro npm</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B</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B</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5</w:t>
            </w:r>
          </w:p>
        </w:tc>
        <w:tc>
          <w:tcPr>
            <w:tcW w:type="dxa" w:w="76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3"/>
              </w:rPr>
              <w:t>Media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Baja: son código público. I Alta: un paquete malicioso entra al producto. D Baja: las versiones fijadas permiten reconstruir.</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Equipo; pipeline CI; Dependabot</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ACT-18</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Dispositivo móvil del cliente</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F1 a F6</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Teléfono Android del cliente con Keystore y biometría.</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Físico</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Dispositivo del cliente</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7</w:t>
            </w:r>
          </w:p>
        </w:tc>
        <w:tc>
          <w:tcPr>
            <w:tcW w:type="dxa" w:w="76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3"/>
              </w:rPr>
              <w:t>Alta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Alta: guarda tokens y mantiene la sesión. I Media: root o malware alteran la app. D Media: su pérdida impide operar hasta reinstalar.</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Cliente</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Cliente</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Cliente</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ACT-19</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Estaciones de trabajo del equipo</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Desarrollo; monitoreo</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Equipos Windows con el repositorio, AWS CLI, Docker y el SIEM local.</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Físico</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Local</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B</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6</w:t>
            </w:r>
          </w:p>
        </w:tc>
        <w:tc>
          <w:tcPr>
            <w:tcW w:type="dxa" w:w="76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3"/>
              </w:rPr>
              <w:t>Alta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Alta: guardan credenciales de AWS y GitHub y las llaves del SIEM. I Media: un equipo alterado puede contaminar commits. D Baja: su falla no detiene el servicio.</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Integrantes del equipo</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ACT-20</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Infraestructura física AWS us-east-1</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Todos los procesos</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Centros de datos de la región donde se despliega toda la solución.</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Físico</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Cloud: región us-east-1</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7</w:t>
            </w:r>
          </w:p>
        </w:tc>
        <w:tc>
          <w:tcPr>
            <w:tcW w:type="dxa" w:w="76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3"/>
              </w:rPr>
              <w:t>Alta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e I Media: las protege AWS por responsabilidad compartida. D Alta: el despliegue es de una sola región.</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Amazon Web Services</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Ninguno directo (solo personal de AWS)</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ACT-21</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Equipo de desarrollo / DevSecOps</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SSDLC</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Los tres integrantes con sus roles (I1, I2, I3).</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Personal</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Local</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8</w:t>
            </w:r>
          </w:p>
        </w:tc>
        <w:tc>
          <w:tcPr>
            <w:tcW w:type="dxa" w:w="76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3"/>
              </w:rPr>
              <w:t>Crítica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Media: conocen la arquitectura y los controles. I Alta: sus decisiones definen la seguridad. D Alta: tres personas concentran todo el conocimiento.</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Gerente de Producto</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Lead Security Architect (I1)</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No aplica</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ACT-22</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Personal de soporte (admins)</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F7 Administración</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Usuarios del grupo admins que listan y bloquean cuentas y consultan auditoría.</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Personal</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Local / remoto</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B</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7</w:t>
            </w:r>
          </w:p>
        </w:tc>
        <w:tc>
          <w:tcPr>
            <w:tcW w:type="dxa" w:w="76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3"/>
              </w:rPr>
              <w:t>Alta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Alta: acceden a datos de clientes y auditoría. I Alta: pueden bloquear cuentas. D Baja: la operación del cliente no depende de ellos.</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Gerente de Producto</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Lead Security Architect (I1)</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No aplica</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ACT-23</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AWS (proveedor cloud)</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Todos los procesos</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Proveedor de cómputo, datos, identidad, llaves y red.</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Servicios</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Cloud</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9</w:t>
            </w:r>
          </w:p>
        </w:tc>
        <w:tc>
          <w:tcPr>
            <w:tcW w:type="dxa" w:w="76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3"/>
              </w:rPr>
              <w:t>Crítica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I y D Alta: aloja todos los datos y servicios; la dependencia es total.</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Amazon Web Services</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DevSecOps (consola y CLI con MFA); GitHub Actions (OIDC)</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ACT-24</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GitHub</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SSDLC</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Hospedaje del repositorio, Actions, Dependabot y secret scanning.</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Servicios</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Cloud (SaaS)</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B</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B</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5</w:t>
            </w:r>
          </w:p>
        </w:tc>
        <w:tc>
          <w:tcPr>
            <w:tcW w:type="dxa" w:w="76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3"/>
              </w:rPr>
              <w:t>Media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Baja: el repositorio es público. I Alta: controla qué llega a producción. D Baja: su caída detiene el desarrollo, no el servicio.</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Integrantes del equipo</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ACT-25</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Servicio de correo de Cognito</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F1 Registro y recuperación de cuenta</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Envío de códigos de verificación y de recuperación de contraseña.</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Servicios</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Cloud: Amazon Cognito</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B</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5</w:t>
            </w:r>
          </w:p>
        </w:tc>
        <w:tc>
          <w:tcPr>
            <w:tcW w:type="dxa" w:w="76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3"/>
              </w:rPr>
              <w:t>Media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Media: los códigos son de un solo uso. I Media: un correo falso induce phishing. D Baja: solo retrasa registros y recuperaciones.</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DevSecOps Engineer (I2)</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Clientes (destinatarios)</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ACT-26</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Reputación de la marca</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Todos los procesos</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Confianza de los clientes en Q-Wallet, S.A.</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Empresa</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No aplica (intangible)</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B</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6</w:t>
            </w:r>
          </w:p>
        </w:tc>
        <w:tc>
          <w:tcPr>
            <w:tcW w:type="dxa" w:w="76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3"/>
              </w:rPr>
              <w:t>Alta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Baja: no es información reservada. I Alta: un incidente la deteriora de forma duradera. D Media: se recupera con tiempo y comunicación.</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Gerente de Producto</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Gerente de Producto</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No aplica</w:t>
            </w:r>
          </w:p>
        </w:tc>
      </w:tr>
      <w:tr>
        <w:trPr>
          <w:cantSplit/>
        </w:trPr>
        <w:tc>
          <w:tcPr>
            <w:tcW w:type="dxa" w:w="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ACT-27</w:t>
            </w:r>
          </w:p>
        </w:tc>
        <w:tc>
          <w:tcPr>
            <w:tcW w:type="dxa" w:w="11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Alineación regulatoria (referencia JM-98-2025)</w:t>
            </w:r>
          </w:p>
        </w:tc>
        <w:tc>
          <w:tcPr>
            <w:tcW w:type="dxa" w:w="1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Gobierno de seguridad</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Diseño de controles con referencia a la JM-98-2025 y al Decreto 67-2001; Q-Wallet, S.A. no es entidad supervisada.</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Empresa</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No aplica (intangible)</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B</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27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B</w:t>
            </w:r>
          </w:p>
        </w:tc>
        <w:tc>
          <w:tcPr>
            <w:tcW w:type="dxa" w:w="4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3"/>
              </w:rPr>
              <w:t>4</w:t>
            </w:r>
          </w:p>
        </w:tc>
        <w:tc>
          <w:tcPr>
            <w:tcW w:type="dxa" w:w="76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3"/>
              </w:rPr>
              <w:t>Media</w:t>
            </w:r>
          </w:p>
        </w:tc>
        <w:tc>
          <w:tcPr>
            <w:tcW w:type="dxa" w:w="20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C Baja: los marcos son públicos. I Media: afirmar algo inexacto afecta la credibilidad. D Baja: no hay auditoría externa periódica.</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Lead Security Architect (I1)</w:t>
            </w:r>
          </w:p>
        </w:tc>
        <w:tc>
          <w:tcPr>
            <w:tcW w:type="dxa" w:w="8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Pentester / Analista de Riesgos (I3)</w:t>
            </w:r>
          </w:p>
        </w:tc>
        <w:tc>
          <w:tcPr>
            <w:tcW w:type="dxa" w:w="9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3"/>
              </w:rPr>
              <w:t>Equipo</w:t>
            </w:r>
          </w:p>
        </w:tc>
      </w:tr>
      <w:tr>
        <w:trPr>
          <w:cantSplit/>
        </w:trPr>
        <w:tc>
          <w:tcPr>
            <w:tcW w:type="dxa" w:w="66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3"/>
              </w:rPr>
              <w:t>ACT-28</w:t>
            </w:r>
          </w:p>
        </w:tc>
        <w:tc>
          <w:tcPr>
            <w:tcW w:type="dxa" w:w="115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3"/>
              </w:rPr>
              <w:t>SIEM Wazuh</w:t>
            </w:r>
          </w:p>
        </w:tc>
        <w:tc>
          <w:tcPr>
            <w:tcW w:type="dxa" w:w="10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3"/>
              </w:rPr>
              <w:t>Monitoreo y respuesta a incidentes</w:t>
            </w:r>
          </w:p>
        </w:tc>
        <w:tc>
          <w:tcPr>
            <w:tcW w:type="dxa" w:w="15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3"/>
              </w:rPr>
              <w:t>Wazuh 4.14.8 en Docker local que correlaciona CloudTrail y CloudWatch.</w:t>
            </w:r>
          </w:p>
        </w:tc>
        <w:tc>
          <w:tcPr>
            <w:tcW w:type="dxa" w:w="86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3"/>
              </w:rPr>
              <w:t>Software</w:t>
            </w:r>
          </w:p>
        </w:tc>
        <w:tc>
          <w:tcPr>
            <w:tcW w:type="dxa" w:w="95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3"/>
              </w:rPr>
              <w:t>Local: estación del equipo</w:t>
            </w:r>
          </w:p>
        </w:tc>
        <w:tc>
          <w:tcPr>
            <w:tcW w:type="dxa" w:w="27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27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3"/>
              </w:rPr>
              <w:t>A</w:t>
            </w:r>
          </w:p>
        </w:tc>
        <w:tc>
          <w:tcPr>
            <w:tcW w:type="dxa" w:w="27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3"/>
              </w:rPr>
              <w:t>M</w:t>
            </w:r>
          </w:p>
        </w:tc>
        <w:tc>
          <w:tcPr>
            <w:tcW w:type="dxa" w:w="48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3"/>
              </w:rPr>
              <w:t>7</w:t>
            </w:r>
          </w:p>
        </w:tc>
        <w:tc>
          <w:tcPr>
            <w:tcW w:type="dxa" w:w="760"/>
            <w:tcBorders>
              <w:top w:val="nil"/>
              <w:left w:val="nil"/>
              <w:bottom w:val="single" w:sz="8" w:color="000000"/>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3"/>
              </w:rPr>
              <w:t>Alta</w:t>
            </w:r>
          </w:p>
        </w:tc>
        <w:tc>
          <w:tcPr>
            <w:tcW w:type="dxa" w:w="20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3"/>
              </w:rPr>
              <w:t>C Media: lee los registros de toda la cuenta. I Alta: una alerta alterada oculta un ataque. D Media: CloudTrail conserva los eventos si se apaga.</w:t>
            </w:r>
          </w:p>
        </w:tc>
        <w:tc>
          <w:tcPr>
            <w:tcW w:type="dxa" w:w="88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3"/>
              </w:rPr>
              <w:t>Lead Security Architect (I1)</w:t>
            </w:r>
          </w:p>
        </w:tc>
        <w:tc>
          <w:tcPr>
            <w:tcW w:type="dxa" w:w="88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3"/>
              </w:rPr>
              <w:t>DevSecOps Engineer (I2)</w:t>
            </w:r>
          </w:p>
        </w:tc>
        <w:tc>
          <w:tcPr>
            <w:tcW w:type="dxa" w:w="95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3"/>
              </w:rPr>
              <w:t>Pentester / Analista (I3); DevSecOps (I2)</w:t>
            </w:r>
          </w:p>
        </w:tc>
      </w:tr>
    </w:tbl>
    <w:p>
      <w:pPr>
        <w:spacing w:line="480" w:lineRule="auto" w:before="0" w:after="160"/>
        <w:jc w:val="both"/>
      </w:pPr>
      <w:r>
        <w:rPr>
          <w:i/>
          <w:sz w:val="24"/>
        </w:rPr>
        <w:t xml:space="preserve">Nota. </w:t>
      </w:r>
      <w:r>
        <w:rPr>
          <w:sz w:val="24"/>
        </w:rPr>
        <w:t>Elaboración propia a partir de la semilla de activos del proyecto y del modelo de amenazas T2. C = confidencialidad, I = integridad, D = disponibilidad; A = Alta (3), M = Media (2), B = Baja (1). Valor = C + I + D. F1 a F7 son las funciones de Q-Wallet: registro e inicio de sesión, desbloqueo biométrico, consulta de saldo, transferencia P2P, beneficiarios, control de gastos y administración. I1, I2 e I3 son los integrantes del equipo según su rol. ACT-28 se agrega a la semilla; ACT-27 se renombra.</w:t>
      </w:r>
    </w:p>
    <w:p>
      <w:pPr>
        <w:spacing w:before="0" w:after="160" w:line="480" w:lineRule="auto"/>
        <w:sectPr>
          <w:headerReference w:type="default" r:id="rId7"/>
          <w:pgSz w:w="15840" w:h="12240" w:orient="landscape"/>
          <w:pgMar w:top="1440" w:right="1440" w:bottom="1440" w:left="1440" w:header="720" w:footer="720" w:gutter="0"/>
          <w:cols w:space="720"/>
          <w:docGrid w:linePitch="360"/>
        </w:sectPr>
      </w:pPr>
    </w:p>
    <w:p>
      <w:pPr>
        <w:pStyle w:val="Heading2"/>
        <w:keepNext/>
        <w:keepLines/>
        <w:spacing w:before="0" w:after="160" w:line="480" w:lineRule="auto"/>
        <w:jc w:val="left"/>
        <w:outlineLvl w:val="1"/>
      </w:pPr>
      <w:r>
        <w:t>2.2 Clasificación CIA y criticidad</w:t>
      </w:r>
    </w:p>
    <w:p>
      <w:pPr>
        <w:spacing w:before="0" w:after="160" w:line="480" w:lineRule="auto"/>
        <w:ind w:firstLine="720"/>
        <w:jc w:val="both"/>
      </w:pPr>
      <w:r>
        <w:t xml:space="preserve">Valoramos cada activo en las tres dimensiones de la tríada CIA con una escala ordinal de tres niveles, como base para clasificar la información según el control 5.12 del Anexo A de ISO/IEC 27001:2022 (ISO e IEC, 2022a). La </w:t>
      </w:r>
      <w:r>
        <w:rPr>
          <w:b/>
        </w:rPr>
        <w:t>confidencialidad</w:t>
      </w:r>
      <w:r>
        <w:t xml:space="preserve"> mide el daño si el activo llega a quien no debe; la </w:t>
      </w:r>
      <w:r>
        <w:rPr>
          <w:b/>
        </w:rPr>
        <w:t>integridad</w:t>
      </w:r>
      <w:r>
        <w:t xml:space="preserve">, el daño si se altera sin autorización; y la </w:t>
      </w:r>
      <w:r>
        <w:rPr>
          <w:b/>
        </w:rPr>
        <w:t>disponibilidad</w:t>
      </w:r>
      <w:r>
        <w:t>, el daño si no está accesible cuando se necesita. La Tabla 13 resume los criterios que aplicamos en cada nivel.</w:t>
      </w:r>
    </w:p>
    <w:p>
      <w:pPr>
        <w:keepNext/>
        <w:spacing w:before="0" w:line="480" w:lineRule="auto" w:after="160"/>
      </w:pPr>
      <w:r>
        <w:rPr>
          <w:b/>
        </w:rPr>
        <w:t>Tabla 13</w:t>
      </w:r>
    </w:p>
    <w:p>
      <w:pPr>
        <w:keepNext/>
        <w:spacing w:line="480" w:lineRule="auto" w:after="160" w:before="0"/>
      </w:pPr>
      <w:r>
        <w:rPr>
          <w:i/>
        </w:rPr>
        <w:t>Criterios de valoración CIA</w:t>
      </w:r>
    </w:p>
    <w:tbl>
      <w:tblPr>
        <w:tblW w:w="9360" w:type="dxa"/>
        <w:jc w:val="center"/>
        <w:tblLayout w:type="fixed"/>
        <w:tblLook w:firstColumn="1" w:firstRow="1" w:lastColumn="0" w:lastRow="0" w:noHBand="0" w:noVBand="1" w:val="04A0"/>
      </w:tblPr>
      <w:tblGrid>
        <w:gridCol w:w="1100"/>
        <w:gridCol w:w="700"/>
        <w:gridCol w:w="2520"/>
        <w:gridCol w:w="2520"/>
        <w:gridCol w:w="2520"/>
      </w:tblGrid>
      <w:tr>
        <w:trPr>
          <w:cantSplit/>
          <w:tblHeader/>
        </w:trPr>
        <w:tc>
          <w:tcPr>
            <w:tcW w:type="dxa" w:w="11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6"/>
              </w:rPr>
              <w:t>Nivel</w:t>
            </w:r>
          </w:p>
        </w:tc>
        <w:tc>
          <w:tcPr>
            <w:tcW w:type="dxa" w:w="7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6"/>
              </w:rPr>
              <w:t>Valor</w:t>
            </w:r>
          </w:p>
        </w:tc>
        <w:tc>
          <w:tcPr>
            <w:tcW w:type="dxa" w:w="252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6"/>
              </w:rPr>
              <w:t>Confidencialidad</w:t>
            </w:r>
          </w:p>
        </w:tc>
        <w:tc>
          <w:tcPr>
            <w:tcW w:type="dxa" w:w="252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6"/>
              </w:rPr>
              <w:t>Integridad</w:t>
            </w:r>
          </w:p>
        </w:tc>
        <w:tc>
          <w:tcPr>
            <w:tcW w:type="dxa" w:w="252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6"/>
              </w:rPr>
              <w:t>Disponibilidad</w:t>
            </w:r>
          </w:p>
        </w:tc>
      </w:tr>
      <w:tr>
        <w:trPr>
          <w:cantSplit/>
        </w:trPr>
        <w:tc>
          <w:tcPr>
            <w:tcW w:type="dxa" w:w="11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Alta (A)</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252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Su divulgación permite suplantar, mover dinero o comprometer toda la plataforma</w:t>
            </w:r>
          </w:p>
        </w:tc>
        <w:tc>
          <w:tcPr>
            <w:tcW w:type="dxa" w:w="252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Su alteración crea o destruye dinero, cambia identidades o despliega código no revisado</w:t>
            </w:r>
          </w:p>
        </w:tc>
        <w:tc>
          <w:tcPr>
            <w:tcW w:type="dxa" w:w="252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Su ausencia detiene la billetera para todos los clientes</w:t>
            </w:r>
          </w:p>
        </w:tc>
      </w:tr>
      <w:tr>
        <w:trPr>
          <w:cantSplit/>
        </w:trPr>
        <w:tc>
          <w:tcPr>
            <w:tcW w:type="dxa" w:w="11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Media (M)</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252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Su divulgación orienta a un atacante o expone datos limitados</w:t>
            </w:r>
          </w:p>
        </w:tc>
        <w:tc>
          <w:tcPr>
            <w:tcW w:type="dxa" w:w="252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Su alteración causa errores corregibles o afecta controles secundarios</w:t>
            </w:r>
          </w:p>
        </w:tc>
        <w:tc>
          <w:tcPr>
            <w:tcW w:type="dxa" w:w="252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Su ausencia degrada un proceso o se restablece con un procedimiento conocido</w:t>
            </w:r>
          </w:p>
        </w:tc>
      </w:tr>
      <w:tr>
        <w:trPr>
          <w:cantSplit/>
        </w:trPr>
        <w:tc>
          <w:tcPr>
            <w:tcW w:type="dxa" w:w="11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6"/>
              </w:rPr>
              <w:t>Baja (B)</w:t>
            </w:r>
          </w:p>
        </w:tc>
        <w:tc>
          <w:tcPr>
            <w:tcW w:type="dxa" w:w="7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6"/>
              </w:rPr>
              <w:t>1</w:t>
            </w:r>
          </w:p>
        </w:tc>
        <w:tc>
          <w:tcPr>
            <w:tcW w:type="dxa" w:w="252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6"/>
              </w:rPr>
              <w:t>Es información pública o sin valor para un atacante</w:t>
            </w:r>
          </w:p>
        </w:tc>
        <w:tc>
          <w:tcPr>
            <w:tcW w:type="dxa" w:w="252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6"/>
              </w:rPr>
              <w:t>Su alteración no afecta la operación ni la seguridad</w:t>
            </w:r>
          </w:p>
        </w:tc>
        <w:tc>
          <w:tcPr>
            <w:tcW w:type="dxa" w:w="252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6"/>
              </w:rPr>
              <w:t>Su ausencia no afecta la operación del cliente</w:t>
            </w:r>
          </w:p>
        </w:tc>
      </w:tr>
    </w:tbl>
    <w:p>
      <w:pPr>
        <w:spacing w:line="480" w:lineRule="auto" w:before="0" w:after="160"/>
        <w:jc w:val="both"/>
      </w:pPr>
      <w:r>
        <w:rPr>
          <w:i/>
          <w:sz w:val="24"/>
        </w:rPr>
        <w:t xml:space="preserve">Nota. </w:t>
      </w:r>
      <w:r>
        <w:rPr>
          <w:sz w:val="24"/>
        </w:rPr>
        <w:t>Elaboración propia. Escala fija del proyecto.</w:t>
      </w:r>
    </w:p>
    <w:p>
      <w:pPr>
        <w:spacing w:before="0" w:after="160" w:line="480" w:lineRule="auto"/>
        <w:ind w:firstLine="720"/>
        <w:jc w:val="both"/>
      </w:pPr>
      <w:r>
        <w:t xml:space="preserve">El </w:t>
      </w:r>
      <w:r>
        <w:rPr>
          <w:b/>
        </w:rPr>
        <w:t>valor</w:t>
      </w:r>
      <w:r>
        <w:t xml:space="preserve"> del activo es la suma de las tres dimensiones (Valor = C + I + D) y va de 3 a 9. La </w:t>
      </w:r>
      <w:r>
        <w:rPr>
          <w:b/>
        </w:rPr>
        <w:t>criticidad</w:t>
      </w:r>
      <w:r>
        <w:t xml:space="preserve"> se asigna por rangos: 8 a 9, Crítica; 6 a 7, Alta; 4 a 5, Media; y 3, Baja. Por ejemplo, el activo ACT-02 (Saldos y movimientos) recibe C = 3 porque revela la situación financiera del cliente, I = 3 porque una alteración crea o destruye dinero y D = 3 porque sin saldo la billetera no opera; su valor es 3 + 3 + 3 = 9 y su criticidad, Crítica. En cambio, el código fuente (ACT-08) recibe C = 1 porque el repositorio es público por decisión del equipo, I = 3 y D = 2, con un valor de 1 + 3 + 2 = 6 (Alta): su riesgo principal no es que se lea, sino que se altere. La Tabla 14 muestra el cálculo para los 28 activos.</w:t>
      </w:r>
    </w:p>
    <w:p>
      <w:pPr>
        <w:keepNext/>
        <w:spacing w:before="0" w:line="480" w:lineRule="auto" w:after="160"/>
      </w:pPr>
      <w:r>
        <w:rPr>
          <w:b/>
        </w:rPr>
        <w:t>Tabla 14</w:t>
      </w:r>
    </w:p>
    <w:p>
      <w:pPr>
        <w:keepNext/>
        <w:spacing w:line="480" w:lineRule="auto" w:after="160" w:before="0"/>
      </w:pPr>
      <w:r>
        <w:rPr>
          <w:i/>
        </w:rPr>
        <w:t>Cálculo del valor y la criticidad de cada activo</w:t>
      </w:r>
    </w:p>
    <w:tbl>
      <w:tblPr>
        <w:tblW w:w="9360" w:type="dxa"/>
        <w:jc w:val="center"/>
        <w:tblLayout w:type="fixed"/>
        <w:tblLook w:firstColumn="1" w:firstRow="1" w:lastColumn="0" w:lastRow="0" w:noHBand="0" w:noVBand="1" w:val="04A0"/>
      </w:tblPr>
      <w:tblGrid>
        <w:gridCol w:w="700"/>
        <w:gridCol w:w="3060"/>
        <w:gridCol w:w="1200"/>
        <w:gridCol w:w="450"/>
        <w:gridCol w:w="450"/>
        <w:gridCol w:w="450"/>
        <w:gridCol w:w="1700"/>
        <w:gridCol w:w="1350"/>
      </w:tblGrid>
      <w:tr>
        <w:trPr>
          <w:cantSplit/>
          <w:tblHeader/>
        </w:trPr>
        <w:tc>
          <w:tcPr>
            <w:tcW w:type="dxa" w:w="7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6"/>
              </w:rPr>
              <w:t>ID</w:t>
            </w:r>
          </w:p>
        </w:tc>
        <w:tc>
          <w:tcPr>
            <w:tcW w:type="dxa" w:w="306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6"/>
              </w:rPr>
              <w:t>Activo</w:t>
            </w:r>
          </w:p>
        </w:tc>
        <w:tc>
          <w:tcPr>
            <w:tcW w:type="dxa" w:w="12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6"/>
              </w:rPr>
              <w:t>Tipo</w:t>
            </w:r>
          </w:p>
        </w:tc>
        <w:tc>
          <w:tcPr>
            <w:tcW w:type="dxa" w:w="45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6"/>
              </w:rPr>
              <w:t>C</w:t>
            </w:r>
          </w:p>
        </w:tc>
        <w:tc>
          <w:tcPr>
            <w:tcW w:type="dxa" w:w="45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6"/>
              </w:rPr>
              <w:t>I</w:t>
            </w:r>
          </w:p>
        </w:tc>
        <w:tc>
          <w:tcPr>
            <w:tcW w:type="dxa" w:w="45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6"/>
              </w:rPr>
              <w:t>D</w:t>
            </w:r>
          </w:p>
        </w:tc>
        <w:tc>
          <w:tcPr>
            <w:tcW w:type="dxa" w:w="17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6"/>
              </w:rPr>
              <w:t>Cálculo</w:t>
            </w:r>
          </w:p>
        </w:tc>
        <w:tc>
          <w:tcPr>
            <w:tcW w:type="dxa" w:w="135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6"/>
              </w:rPr>
              <w:t>Criticidad</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ACT-01</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Datos personales de clientes</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Información</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 + 2 + 2 = 7</w:t>
            </w:r>
          </w:p>
        </w:tc>
        <w:tc>
          <w:tcPr>
            <w:tcW w:type="dxa" w:w="135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6"/>
              </w:rPr>
              <w:t>Alta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ACT-02</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Saldos y movimientos</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Información</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 + 3 + 3 = 9</w:t>
            </w:r>
          </w:p>
        </w:tc>
        <w:tc>
          <w:tcPr>
            <w:tcW w:type="dxa" w:w="135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6"/>
              </w:rPr>
              <w:t>Crítica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ACT-03</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Credenciales y tokens</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Información</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 + 3 + 2 = 8</w:t>
            </w:r>
          </w:p>
        </w:tc>
        <w:tc>
          <w:tcPr>
            <w:tcW w:type="dxa" w:w="135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6"/>
              </w:rPr>
              <w:t>Crítica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ACT-04</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PIN de transacción (hash)</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Información</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 + 3 + 2 = 8</w:t>
            </w:r>
          </w:p>
        </w:tc>
        <w:tc>
          <w:tcPr>
            <w:tcW w:type="dxa" w:w="135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6"/>
              </w:rPr>
              <w:t>Crítica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ACT-05</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Registros de auditoría</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Información</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 + 3 + 2 = 7</w:t>
            </w:r>
          </w:p>
        </w:tc>
        <w:tc>
          <w:tcPr>
            <w:tcW w:type="dxa" w:w="135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6"/>
              </w:rPr>
              <w:t>Alta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ACT-06</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Llaves KMS (CMK)</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Información</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 + 3 + 3 = 9</w:t>
            </w:r>
          </w:p>
        </w:tc>
        <w:tc>
          <w:tcPr>
            <w:tcW w:type="dxa" w:w="135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6"/>
              </w:rPr>
              <w:t>Crítica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ACT-07</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Secretos de configuración (SSM)</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Información</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 + 3 + 2 = 8</w:t>
            </w:r>
          </w:p>
        </w:tc>
        <w:tc>
          <w:tcPr>
            <w:tcW w:type="dxa" w:w="135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6"/>
              </w:rPr>
              <w:t>Crítica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ACT-08</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Código fuente</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Información</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1</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1 + 3 + 2 = 6</w:t>
            </w:r>
          </w:p>
        </w:tc>
        <w:tc>
          <w:tcPr>
            <w:tcW w:type="dxa" w:w="135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6"/>
              </w:rPr>
              <w:t>Alta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ACT-09</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Estado de Terraform</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Información</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 + 3 + 2 = 8</w:t>
            </w:r>
          </w:p>
        </w:tc>
        <w:tc>
          <w:tcPr>
            <w:tcW w:type="dxa" w:w="135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6"/>
              </w:rPr>
              <w:t>Crítica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ACT-10</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App Android Q-Wallet</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Software</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1</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1 + 3 + 2 = 6</w:t>
            </w:r>
          </w:p>
        </w:tc>
        <w:tc>
          <w:tcPr>
            <w:tcW w:type="dxa" w:w="135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6"/>
              </w:rPr>
              <w:t>Alta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ACT-11</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Microservicios Lambda (5)</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Software</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 + 3 + 3 = 8</w:t>
            </w:r>
          </w:p>
        </w:tc>
        <w:tc>
          <w:tcPr>
            <w:tcW w:type="dxa" w:w="135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6"/>
              </w:rPr>
              <w:t>Crítica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ACT-12</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API Gateway REST</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Software</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1</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1 + 3 + 3 = 7</w:t>
            </w:r>
          </w:p>
        </w:tc>
        <w:tc>
          <w:tcPr>
            <w:tcW w:type="dxa" w:w="135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6"/>
              </w:rPr>
              <w:t>Alta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ACT-13</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Cognito User Pool</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Software</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 + 3 + 3 = 9</w:t>
            </w:r>
          </w:p>
        </w:tc>
        <w:tc>
          <w:tcPr>
            <w:tcW w:type="dxa" w:w="135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6"/>
              </w:rPr>
              <w:t>Crítica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ACT-14</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DynamoDB</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Software</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 + 3 + 3 = 9</w:t>
            </w:r>
          </w:p>
        </w:tc>
        <w:tc>
          <w:tcPr>
            <w:tcW w:type="dxa" w:w="135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6"/>
              </w:rPr>
              <w:t>Crítica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ACT-15</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Imágenes de contenedor (ECR)</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Software</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 + 3 + 2 = 7</w:t>
            </w:r>
          </w:p>
        </w:tc>
        <w:tc>
          <w:tcPr>
            <w:tcW w:type="dxa" w:w="135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6"/>
              </w:rPr>
              <w:t>Alta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ACT-16</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Pipeline CI/CD</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Software</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1</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 + 3 + 1 = 6</w:t>
            </w:r>
          </w:p>
        </w:tc>
        <w:tc>
          <w:tcPr>
            <w:tcW w:type="dxa" w:w="135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6"/>
              </w:rPr>
              <w:t>Alta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ACT-17</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Dependencias npm</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Software</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1</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1</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1 + 3 + 1 = 5</w:t>
            </w:r>
          </w:p>
        </w:tc>
        <w:tc>
          <w:tcPr>
            <w:tcW w:type="dxa" w:w="135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6"/>
              </w:rPr>
              <w:t>Media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ACT-18</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Dispositivo móvil del cliente</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Físico</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 + 2 + 2 = 7</w:t>
            </w:r>
          </w:p>
        </w:tc>
        <w:tc>
          <w:tcPr>
            <w:tcW w:type="dxa" w:w="135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6"/>
              </w:rPr>
              <w:t>Alta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ACT-19</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Estaciones de trabajo del equipo</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Físico</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1</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 + 2 + 1 = 6</w:t>
            </w:r>
          </w:p>
        </w:tc>
        <w:tc>
          <w:tcPr>
            <w:tcW w:type="dxa" w:w="135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6"/>
              </w:rPr>
              <w:t>Alta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ACT-20</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Infraestructura física AWS us-east-1</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Físico</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 + 2 + 3 = 7</w:t>
            </w:r>
          </w:p>
        </w:tc>
        <w:tc>
          <w:tcPr>
            <w:tcW w:type="dxa" w:w="135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6"/>
              </w:rPr>
              <w:t>Alta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ACT-21</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Equipo de desarrollo / DevSecOps</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Personal</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 + 3 + 3 = 8</w:t>
            </w:r>
          </w:p>
        </w:tc>
        <w:tc>
          <w:tcPr>
            <w:tcW w:type="dxa" w:w="135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6"/>
              </w:rPr>
              <w:t>Crítica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ACT-22</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Personal de soporte (admins)</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Personal</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1</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 + 3 + 1 = 7</w:t>
            </w:r>
          </w:p>
        </w:tc>
        <w:tc>
          <w:tcPr>
            <w:tcW w:type="dxa" w:w="135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6"/>
              </w:rPr>
              <w:t>Alta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ACT-23</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AWS (proveedor cloud)</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Servicios</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 + 3 + 3 = 9</w:t>
            </w:r>
          </w:p>
        </w:tc>
        <w:tc>
          <w:tcPr>
            <w:tcW w:type="dxa" w:w="135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6"/>
              </w:rPr>
              <w:t>Crítica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ACT-24</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GitHub</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Servicios</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1</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1</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1 + 3 + 1 = 5</w:t>
            </w:r>
          </w:p>
        </w:tc>
        <w:tc>
          <w:tcPr>
            <w:tcW w:type="dxa" w:w="135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6"/>
              </w:rPr>
              <w:t>Media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ACT-25</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Servicio de correo de Cognito</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Servicios</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1</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 + 2 + 1 = 5</w:t>
            </w:r>
          </w:p>
        </w:tc>
        <w:tc>
          <w:tcPr>
            <w:tcW w:type="dxa" w:w="135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6"/>
              </w:rPr>
              <w:t>Media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ACT-26</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Reputación de la marca</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Empresa</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1</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1 + 3 + 2 = 6</w:t>
            </w:r>
          </w:p>
        </w:tc>
        <w:tc>
          <w:tcPr>
            <w:tcW w:type="dxa" w:w="135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6"/>
              </w:rPr>
              <w:t>Alta</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ACT-27</w:t>
            </w:r>
          </w:p>
        </w:tc>
        <w:tc>
          <w:tcPr>
            <w:tcW w:type="dxa" w:w="30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Alineación regulatoria (referencia JM-98-2025)</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Empresa</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1</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4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1</w:t>
            </w:r>
          </w:p>
        </w:tc>
        <w:tc>
          <w:tcPr>
            <w:tcW w:type="dxa" w:w="1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1 + 2 + 1 = 4</w:t>
            </w:r>
          </w:p>
        </w:tc>
        <w:tc>
          <w:tcPr>
            <w:tcW w:type="dxa" w:w="135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6"/>
              </w:rPr>
              <w:t>Media</w:t>
            </w:r>
          </w:p>
        </w:tc>
      </w:tr>
      <w:tr>
        <w:trPr>
          <w:cantSplit/>
        </w:trPr>
        <w:tc>
          <w:tcPr>
            <w:tcW w:type="dxa" w:w="7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6"/>
              </w:rPr>
              <w:t>ACT-28</w:t>
            </w:r>
          </w:p>
        </w:tc>
        <w:tc>
          <w:tcPr>
            <w:tcW w:type="dxa" w:w="306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6"/>
              </w:rPr>
              <w:t>SIEM Wazuh</w:t>
            </w:r>
          </w:p>
        </w:tc>
        <w:tc>
          <w:tcPr>
            <w:tcW w:type="dxa" w:w="12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6"/>
              </w:rPr>
              <w:t>Software</w:t>
            </w:r>
          </w:p>
        </w:tc>
        <w:tc>
          <w:tcPr>
            <w:tcW w:type="dxa" w:w="45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45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45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6"/>
              </w:rPr>
              <w:t>2</w:t>
            </w:r>
          </w:p>
        </w:tc>
        <w:tc>
          <w:tcPr>
            <w:tcW w:type="dxa" w:w="17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6"/>
              </w:rPr>
              <w:t>2 + 3 + 2 = 7</w:t>
            </w:r>
          </w:p>
        </w:tc>
        <w:tc>
          <w:tcPr>
            <w:tcW w:type="dxa" w:w="1350"/>
            <w:tcBorders>
              <w:top w:val="nil"/>
              <w:left w:val="nil"/>
              <w:bottom w:val="single" w:sz="8" w:color="000000"/>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6"/>
              </w:rPr>
              <w:t>Alta</w:t>
            </w:r>
          </w:p>
        </w:tc>
      </w:tr>
    </w:tbl>
    <w:p>
      <w:pPr>
        <w:spacing w:line="480" w:lineRule="auto" w:before="0" w:after="160"/>
        <w:jc w:val="both"/>
      </w:pPr>
      <w:r>
        <w:rPr>
          <w:i/>
          <w:sz w:val="24"/>
        </w:rPr>
        <w:t xml:space="preserve">Nota. </w:t>
      </w:r>
      <w:r>
        <w:rPr>
          <w:sz w:val="24"/>
        </w:rPr>
        <w:t>Elaboración propia. Valor = C + I + D; 8–9 Crítica, 6–7 Alta, 4–5 Media, 3 Baja.</w:t>
      </w:r>
    </w:p>
    <w:p>
      <w:pPr>
        <w:spacing w:before="0" w:after="160" w:line="480" w:lineRule="auto"/>
        <w:ind w:firstLine="720"/>
        <w:jc w:val="both"/>
      </w:pPr>
      <w:r>
        <w:t>El resultado es de 11 activos de criticidad Crítica, 13 de criticidad Alta, 4 de criticidad Media y 0 de criticidad Baja (Tabla 15). Los activos críticos se concentran en la información financiera y de identidad (saldos, credenciales, PIN, llaves y secretos) y en los servicios de AWS que la procesan y almacenan, lo que es coherente con la naturaleza de una billetera digital. Ningún activo queda en criticidad Baja porque el inventario se limitó a los activos que sostienen la seguridad de la billetera; los de menor valor (dependencias npm, GitHub, el correo de Cognito y la alineación regulatoria) quedan en Media porque su disponibilidad no detiene el servicio al cliente.</w:t>
      </w:r>
    </w:p>
    <w:p>
      <w:pPr>
        <w:keepNext/>
        <w:spacing w:before="0" w:line="480" w:lineRule="auto" w:after="160"/>
      </w:pPr>
      <w:r>
        <w:rPr>
          <w:b/>
        </w:rPr>
        <w:t>Tabla 15</w:t>
      </w:r>
    </w:p>
    <w:p>
      <w:pPr>
        <w:keepNext/>
        <w:spacing w:line="480" w:lineRule="auto" w:after="160" w:before="0"/>
      </w:pPr>
      <w:r>
        <w:rPr>
          <w:i/>
        </w:rPr>
        <w:t>Distribución de activos por tipo y criticidad</w:t>
      </w:r>
    </w:p>
    <w:tbl>
      <w:tblPr>
        <w:tblW w:w="9360" w:type="dxa"/>
        <w:jc w:val="center"/>
        <w:tblLayout w:type="fixed"/>
        <w:tblLook w:firstColumn="1" w:firstRow="1" w:lastColumn="0" w:lastRow="0" w:noHBand="0" w:noVBand="1" w:val="04A0"/>
      </w:tblPr>
      <w:tblGrid>
        <w:gridCol w:w="2860"/>
        <w:gridCol w:w="1300"/>
        <w:gridCol w:w="1300"/>
        <w:gridCol w:w="1300"/>
        <w:gridCol w:w="1300"/>
        <w:gridCol w:w="1300"/>
      </w:tblGrid>
      <w:tr>
        <w:trPr>
          <w:cantSplit/>
          <w:tblHeader/>
        </w:trPr>
        <w:tc>
          <w:tcPr>
            <w:tcW w:type="dxa" w:w="286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8"/>
              </w:rPr>
              <w:t>Tipo de activo</w:t>
            </w:r>
          </w:p>
        </w:tc>
        <w:tc>
          <w:tcPr>
            <w:tcW w:type="dxa" w:w="13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8"/>
              </w:rPr>
              <w:t>Crítica</w:t>
            </w:r>
          </w:p>
        </w:tc>
        <w:tc>
          <w:tcPr>
            <w:tcW w:type="dxa" w:w="13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8"/>
              </w:rPr>
              <w:t>Alta</w:t>
            </w:r>
          </w:p>
        </w:tc>
        <w:tc>
          <w:tcPr>
            <w:tcW w:type="dxa" w:w="13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8"/>
              </w:rPr>
              <w:t>Media</w:t>
            </w:r>
          </w:p>
        </w:tc>
        <w:tc>
          <w:tcPr>
            <w:tcW w:type="dxa" w:w="13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8"/>
              </w:rPr>
              <w:t>Baja</w:t>
            </w:r>
          </w:p>
        </w:tc>
        <w:tc>
          <w:tcPr>
            <w:tcW w:type="dxa" w:w="13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8"/>
              </w:rPr>
              <w:t>Total</w:t>
            </w:r>
          </w:p>
        </w:tc>
      </w:tr>
      <w:tr>
        <w:trPr>
          <w:cantSplit/>
        </w:trPr>
        <w:tc>
          <w:tcPr>
            <w:tcW w:type="dxa" w:w="2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8"/>
              </w:rPr>
              <w:t>Información</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6</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3</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0</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0</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9</w:t>
            </w:r>
          </w:p>
        </w:tc>
      </w:tr>
      <w:tr>
        <w:trPr>
          <w:cantSplit/>
        </w:trPr>
        <w:tc>
          <w:tcPr>
            <w:tcW w:type="dxa" w:w="2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8"/>
              </w:rPr>
              <w:t>Software</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3</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5</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1</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0</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9</w:t>
            </w:r>
          </w:p>
        </w:tc>
      </w:tr>
      <w:tr>
        <w:trPr>
          <w:cantSplit/>
        </w:trPr>
        <w:tc>
          <w:tcPr>
            <w:tcW w:type="dxa" w:w="2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8"/>
              </w:rPr>
              <w:t>Físico</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0</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3</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0</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0</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3</w:t>
            </w:r>
          </w:p>
        </w:tc>
      </w:tr>
      <w:tr>
        <w:trPr>
          <w:cantSplit/>
        </w:trPr>
        <w:tc>
          <w:tcPr>
            <w:tcW w:type="dxa" w:w="2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8"/>
              </w:rPr>
              <w:t>Personal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1</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1</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0</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0</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2</w:t>
            </w:r>
          </w:p>
        </w:tc>
      </w:tr>
      <w:tr>
        <w:trPr>
          <w:cantSplit/>
        </w:trPr>
        <w:tc>
          <w:tcPr>
            <w:tcW w:type="dxa" w:w="2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8"/>
              </w:rPr>
              <w:t>Servicios</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1</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0</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2</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0</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3</w:t>
            </w:r>
          </w:p>
        </w:tc>
      </w:tr>
      <w:tr>
        <w:trPr>
          <w:cantSplit/>
        </w:trPr>
        <w:tc>
          <w:tcPr>
            <w:tcW w:type="dxa" w:w="2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8"/>
              </w:rPr>
              <w:t>Empresa</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0</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1</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1</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0</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8"/>
              </w:rPr>
              <w:t>2</w:t>
            </w:r>
          </w:p>
        </w:tc>
      </w:tr>
      <w:tr>
        <w:trPr>
          <w:cantSplit/>
        </w:trPr>
        <w:tc>
          <w:tcPr>
            <w:tcW w:type="dxa" w:w="286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8"/>
              </w:rPr>
              <w:t>Total</w:t>
            </w:r>
          </w:p>
        </w:tc>
        <w:tc>
          <w:tcPr>
            <w:tcW w:type="dxa" w:w="13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8"/>
              </w:rPr>
              <w:t>11</w:t>
            </w:r>
          </w:p>
        </w:tc>
        <w:tc>
          <w:tcPr>
            <w:tcW w:type="dxa" w:w="13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8"/>
              </w:rPr>
              <w:t>13</w:t>
            </w:r>
          </w:p>
        </w:tc>
        <w:tc>
          <w:tcPr>
            <w:tcW w:type="dxa" w:w="13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8"/>
              </w:rPr>
              <w:t>4</w:t>
            </w:r>
          </w:p>
        </w:tc>
        <w:tc>
          <w:tcPr>
            <w:tcW w:type="dxa" w:w="13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8"/>
              </w:rPr>
              <w:t>0</w:t>
            </w:r>
          </w:p>
        </w:tc>
        <w:tc>
          <w:tcPr>
            <w:tcW w:type="dxa" w:w="13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8"/>
              </w:rPr>
              <w:t>28</w:t>
            </w:r>
          </w:p>
        </w:tc>
      </w:tr>
    </w:tbl>
    <w:p>
      <w:pPr>
        <w:spacing w:line="480" w:lineRule="auto" w:before="0" w:after="160"/>
        <w:jc w:val="both"/>
      </w:pPr>
      <w:r>
        <w:rPr>
          <w:i/>
          <w:sz w:val="24"/>
        </w:rPr>
        <w:t xml:space="preserve">Nota. </w:t>
      </w:r>
      <w:r>
        <w:rPr>
          <w:sz w:val="24"/>
        </w:rPr>
        <w:t>Elaboración propia a partir de la Tabla 14.</w:t>
      </w:r>
    </w:p>
    <w:p>
      <w:pPr>
        <w:pStyle w:val="Heading2"/>
        <w:keepNext/>
        <w:keepLines/>
        <w:spacing w:before="0" w:after="160" w:line="480" w:lineRule="auto"/>
        <w:jc w:val="left"/>
        <w:outlineLvl w:val="1"/>
      </w:pPr>
      <w:r>
        <w:t>2.3 Modelado de amenazas STRIDE</w:t>
      </w:r>
    </w:p>
    <w:p>
      <w:pPr>
        <w:spacing w:before="0" w:after="160" w:line="480" w:lineRule="auto"/>
        <w:ind w:firstLine="720"/>
        <w:jc w:val="both"/>
      </w:pPr>
      <w:r>
        <w:t>Identificamos las amenazas con STRIDE (Shostack, 2014), que clasifica lo que puede salir mal en seis categorías: suplantación (</w:t>
      </w:r>
      <w:r>
        <w:rPr>
          <w:i/>
        </w:rPr>
        <w:t>spoofing</w:t>
      </w:r>
      <w:r>
        <w:t>), manipulación (</w:t>
      </w:r>
      <w:r>
        <w:rPr>
          <w:i/>
        </w:rPr>
        <w:t>tampering</w:t>
      </w:r>
      <w:r>
        <w:t>), repudio (</w:t>
      </w:r>
      <w:r>
        <w:rPr>
          <w:i/>
        </w:rPr>
        <w:t>repudiation</w:t>
      </w:r>
      <w:r>
        <w:t>), divulgación de información (</w:t>
      </w:r>
      <w:r>
        <w:rPr>
          <w:i/>
        </w:rPr>
        <w:t>information disclosure</w:t>
      </w:r>
      <w:r>
        <w:t>), denegación de servicio (</w:t>
      </w:r>
      <w:r>
        <w:rPr>
          <w:i/>
        </w:rPr>
        <w:t>denial of service</w:t>
      </w:r>
      <w:r>
        <w:t>) y elevación de privilegios (</w:t>
      </w:r>
      <w:r>
        <w:rPr>
          <w:i/>
        </w:rPr>
        <w:t>elevation of privilege</w:t>
      </w:r>
      <w:r>
        <w:t>). Aplicamos STRIDE por elemento: para cada actor, proceso, almacén de datos y flujo de los diagramas de flujo de datos (DFD) revisamos qué categorías aplican según el tipo de elemento, con especial atención a los flujos que cruzan una frontera de confianza (TB1 a TB6, definidas en la sección 1.5).</w:t>
      </w:r>
    </w:p>
    <w:p>
      <w:pPr>
        <w:spacing w:before="0" w:after="160" w:line="480" w:lineRule="auto"/>
        <w:ind w:firstLine="720"/>
        <w:jc w:val="both"/>
      </w:pPr>
      <w:r>
        <w:t>El modelo se construyó en OWASP Threat Dragon (OWASP Foundation, 2024) con tres niveles de detalle. El DFD de nivel 0 (Figura 2) muestra el sistema Q-Wallet como un solo proceso y sus relaciones con el cliente, el administrador de soporte, el equipo DevSecOps y el analista de seguridad. El DFD de nivel 1 (Figura 3) descompone el sistema en sus componentes (aplicación Android, AWS WAF, API Gateway, Cognito, los cinco microservicios, DynamoDB, SSM, KMS, los registros, ECR, GitHub Actions y Wazuh) y dibuja las seis fronteras de confianza. El DFD de nivel 2 (Figura 4) detalla la transferencia P2P (función F4) en svc-transfers, que es el proceso de mayor criticidad porque mueve dinero: validación de entrada, autorización de objeto, verificación del PIN, control de idempotencia, escritura transaccional y registro de auditoría.</w:t>
      </w:r>
    </w:p>
    <w:p>
      <w:pPr>
        <w:keepNext/>
        <w:spacing w:before="0" w:line="480" w:lineRule="auto" w:after="160"/>
      </w:pPr>
      <w:r>
        <w:rPr>
          <w:b/>
        </w:rPr>
        <w:t>Figura 2</w:t>
      </w:r>
    </w:p>
    <w:p>
      <w:pPr>
        <w:keepNext/>
        <w:spacing w:line="480" w:lineRule="auto" w:after="160" w:before="0"/>
      </w:pPr>
      <w:r>
        <w:rPr>
          <w:i/>
        </w:rPr>
        <w:t>Diagrama de flujo de datos de nivel 0 (contexto) de Q-Wallet</w:t>
      </w:r>
    </w:p>
    <w:p>
      <w:pPr>
        <w:keepNext/>
        <w:spacing w:line="480" w:lineRule="auto" w:before="0" w:after="160"/>
        <w:ind w:firstLine="0"/>
        <w:jc w:val="center"/>
      </w:pPr>
      <w:r>
        <w:drawing>
          <wp:inline distT="0" distB="0" distL="0" distR="0">
            <wp:extent cx="5760720" cy="2422483"/>
            <wp:effectExtent l="0" t="0" r="0" b="0"/>
            <wp:docPr id="2" name="EVD-2-01" descr="EVD-2-01_dfd-nivel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VD-2-01_dfd-nivel0.png"/>
                    <pic:cNvPicPr/>
                  </pic:nvPicPr>
                  <pic:blipFill>
                    <a:blip r:embed="rId10"/>
                    <a:stretch>
                      <a:fillRect/>
                    </a:stretch>
                  </pic:blipFill>
                  <pic:spPr>
                    <a:xfrm>
                      <a:off x="0" y="0"/>
                      <a:ext cx="5760720" cy="2422483"/>
                    </a:xfrm>
                    <a:prstGeom prst="rect">
                      <a:avLst/>
                    </a:prstGeom>
                  </pic:spPr>
                </pic:pic>
              </a:graphicData>
            </a:graphic>
          </wp:inline>
        </w:drawing>
      </w:r>
    </w:p>
    <w:p>
      <w:pPr>
        <w:spacing w:line="480" w:lineRule="auto" w:before="0" w:after="160"/>
        <w:jc w:val="both"/>
        <w:sectPr>
          <w:headerReference w:type="default" r:id="rId7"/>
          <w:pgSz w:w="12240" w:h="15840"/>
          <w:pgMar w:top="1440" w:right="1440" w:bottom="1440" w:left="1440" w:header="720" w:footer="720" w:gutter="0"/>
          <w:cols w:space="720"/>
          <w:docGrid w:linePitch="360"/>
        </w:sectPr>
      </w:pPr>
      <w:r>
        <w:rPr>
          <w:i/>
          <w:sz w:val="24"/>
        </w:rPr>
        <w:t xml:space="preserve">Nota. </w:t>
      </w:r>
      <w:r>
        <w:rPr>
          <w:sz w:val="24"/>
        </w:rPr>
        <w:t>Elaboración propia en OWASP Threat Dragon 2.6.2, modelo de amenazas T2 versión 2.</w:t>
      </w:r>
    </w:p>
    <w:p>
      <w:pPr>
        <w:keepNext/>
        <w:spacing w:before="0" w:line="480" w:lineRule="auto" w:after="160"/>
      </w:pPr>
      <w:r>
        <w:rPr>
          <w:b/>
        </w:rPr>
        <w:t>Figura 3</w:t>
      </w:r>
    </w:p>
    <w:p>
      <w:pPr>
        <w:keepNext/>
        <w:spacing w:line="480" w:lineRule="auto" w:after="160" w:before="0"/>
      </w:pPr>
      <w:r>
        <w:rPr>
          <w:i/>
        </w:rPr>
        <w:t>Diagrama de flujo de datos de nivel 1 con las fronteras de confianza TB1 a TB6</w:t>
      </w:r>
    </w:p>
    <w:p>
      <w:pPr>
        <w:keepNext/>
        <w:spacing w:line="480" w:lineRule="auto" w:before="0" w:after="160"/>
        <w:ind w:firstLine="0"/>
        <w:jc w:val="center"/>
      </w:pPr>
      <w:r>
        <w:drawing>
          <wp:inline distT="0" distB="0" distL="0" distR="0">
            <wp:extent cx="8229600" cy="3972910"/>
            <wp:effectExtent l="0" t="0" r="0" b="0"/>
            <wp:docPr id="3" name="EVD-2-02" descr="EVD-2-02_dfd-nive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VD-2-02_dfd-nivel1.png"/>
                    <pic:cNvPicPr/>
                  </pic:nvPicPr>
                  <pic:blipFill>
                    <a:blip r:embed="rId11"/>
                    <a:stretch>
                      <a:fillRect/>
                    </a:stretch>
                  </pic:blipFill>
                  <pic:spPr>
                    <a:xfrm>
                      <a:off x="0" y="0"/>
                      <a:ext cx="8229600" cy="3972910"/>
                    </a:xfrm>
                    <a:prstGeom prst="rect">
                      <a:avLst/>
                    </a:prstGeom>
                  </pic:spPr>
                </pic:pic>
              </a:graphicData>
            </a:graphic>
          </wp:inline>
        </w:drawing>
      </w:r>
    </w:p>
    <w:p>
      <w:pPr>
        <w:spacing w:line="480" w:lineRule="auto" w:before="0" w:after="160"/>
        <w:jc w:val="both"/>
      </w:pPr>
      <w:r>
        <w:rPr>
          <w:i/>
          <w:sz w:val="24"/>
        </w:rPr>
        <w:t xml:space="preserve">Nota. </w:t>
      </w:r>
      <w:r>
        <w:rPr>
          <w:sz w:val="24"/>
        </w:rPr>
        <w:t>Elaboración propia en OWASP Threat Dragon 2.6.2, modelo de amenazas T2 versión 2.</w:t>
      </w:r>
    </w:p>
    <w:p>
      <w:pPr>
        <w:keepNext/>
        <w:spacing w:before="0" w:line="480" w:lineRule="auto" w:after="160"/>
      </w:pPr>
      <w:r>
        <w:rPr>
          <w:b/>
        </w:rPr>
        <w:t>Figura 4</w:t>
      </w:r>
    </w:p>
    <w:p>
      <w:pPr>
        <w:keepNext/>
        <w:spacing w:line="480" w:lineRule="auto" w:after="160" w:before="0"/>
      </w:pPr>
      <w:r>
        <w:rPr>
          <w:i/>
        </w:rPr>
        <w:t>Diagrama de flujo de datos de nivel 2 de la transferencia P2P (svc-transfers)</w:t>
      </w:r>
    </w:p>
    <w:p>
      <w:pPr>
        <w:keepNext/>
        <w:spacing w:line="480" w:lineRule="auto" w:before="0" w:after="160"/>
        <w:ind w:firstLine="0"/>
        <w:jc w:val="center"/>
      </w:pPr>
      <w:r>
        <w:drawing>
          <wp:inline distT="0" distB="0" distL="0" distR="0">
            <wp:extent cx="8229600" cy="4124248"/>
            <wp:effectExtent l="0" t="0" r="0" b="0"/>
            <wp:docPr id="4" name="EVD-2-03" descr="EVD-2-03_dfd-nive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VD-2-03_dfd-nivel2.png"/>
                    <pic:cNvPicPr/>
                  </pic:nvPicPr>
                  <pic:blipFill>
                    <a:blip r:embed="rId12"/>
                    <a:stretch>
                      <a:fillRect/>
                    </a:stretch>
                  </pic:blipFill>
                  <pic:spPr>
                    <a:xfrm>
                      <a:off x="0" y="0"/>
                      <a:ext cx="8229600" cy="4124248"/>
                    </a:xfrm>
                    <a:prstGeom prst="rect">
                      <a:avLst/>
                    </a:prstGeom>
                  </pic:spPr>
                </pic:pic>
              </a:graphicData>
            </a:graphic>
          </wp:inline>
        </w:drawing>
      </w:r>
    </w:p>
    <w:p>
      <w:pPr>
        <w:spacing w:line="480" w:lineRule="auto" w:before="0" w:after="160"/>
        <w:jc w:val="both"/>
        <w:sectPr>
          <w:headerReference w:type="default" r:id="rId7"/>
          <w:pgSz w:w="15840" w:h="12240" w:orient="landscape"/>
          <w:pgMar w:top="1440" w:right="1440" w:bottom="1440" w:left="1440" w:header="720" w:footer="720" w:gutter="0"/>
          <w:cols w:space="720"/>
          <w:docGrid w:linePitch="360"/>
        </w:sectPr>
      </w:pPr>
      <w:r>
        <w:rPr>
          <w:i/>
          <w:sz w:val="24"/>
        </w:rPr>
        <w:t xml:space="preserve">Nota. </w:t>
      </w:r>
      <w:r>
        <w:rPr>
          <w:sz w:val="24"/>
        </w:rPr>
        <w:t>Elaboración propia en OWASP Threat Dragon 2.6.2, modelo de amenazas T2 versión 2.</w:t>
      </w:r>
    </w:p>
    <w:p>
      <w:pPr>
        <w:spacing w:before="0" w:after="160" w:line="480" w:lineRule="auto"/>
        <w:ind w:firstLine="720"/>
        <w:jc w:val="both"/>
      </w:pPr>
      <w:r>
        <w:t>El modelo identifica 41 amenazas (AME-01 a AME-41) que cubren las seis categorías STRIDE (Tabla 16). La categoría más frecuente es la divulgación de información, lo que corresponde a una aplicación cuyo activo principal son datos personales y financieros. La Tabla 17 presenta el catálogo completo, con el elemento o flujo del DFD donde se identificó cada amenaza, la frontera que cruza, los activos que afecta (con referencia a la Tabla 12) y el control de diseño que la mitiga. Los controles se apoyan en el OWASP API Security Top 10 (OWASP Foundation, 2023) para la API y en el estándar MASVS (OWASP Mobile Application Security Project, 2024) para la aplicación móvil.</w:t>
      </w:r>
    </w:p>
    <w:p>
      <w:pPr>
        <w:keepNext/>
        <w:spacing w:before="0" w:line="480" w:lineRule="auto" w:after="160"/>
      </w:pPr>
      <w:r>
        <w:rPr>
          <w:b/>
        </w:rPr>
        <w:t>Tabla 16</w:t>
      </w:r>
    </w:p>
    <w:p>
      <w:pPr>
        <w:keepNext/>
        <w:spacing w:line="480" w:lineRule="auto" w:after="160" w:before="0"/>
      </w:pPr>
      <w:r>
        <w:rPr>
          <w:i/>
        </w:rPr>
        <w:t>Distribución de amenazas por categoría STRIDE</w:t>
      </w:r>
    </w:p>
    <w:tbl>
      <w:tblPr>
        <w:tblW w:w="9360" w:type="dxa"/>
        <w:jc w:val="center"/>
        <w:tblLayout w:type="fixed"/>
        <w:tblLook w:firstColumn="1" w:firstRow="1" w:lastColumn="0" w:lastRow="0" w:noHBand="0" w:noVBand="1" w:val="04A0"/>
      </w:tblPr>
      <w:tblGrid>
        <w:gridCol w:w="2900"/>
        <w:gridCol w:w="1100"/>
        <w:gridCol w:w="5360"/>
      </w:tblGrid>
      <w:tr>
        <w:trPr>
          <w:cantSplit/>
          <w:tblHeader/>
        </w:trPr>
        <w:tc>
          <w:tcPr>
            <w:tcW w:type="dxa" w:w="29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6"/>
              </w:rPr>
              <w:t>Categoría STRIDE</w:t>
            </w:r>
          </w:p>
        </w:tc>
        <w:tc>
          <w:tcPr>
            <w:tcW w:type="dxa" w:w="11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6"/>
              </w:rPr>
              <w:t>Amenazas</w:t>
            </w:r>
          </w:p>
        </w:tc>
        <w:tc>
          <w:tcPr>
            <w:tcW w:type="dxa" w:w="536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6"/>
              </w:rPr>
              <w:t>Identificadores</w:t>
            </w:r>
          </w:p>
        </w:tc>
      </w:tr>
      <w:tr>
        <w:trPr>
          <w:cantSplit/>
        </w:trPr>
        <w:tc>
          <w:tcPr>
            <w:tcW w:type="dxa" w:w="29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Divulgación de información (I)</w:t>
            </w:r>
          </w:p>
        </w:tc>
        <w:tc>
          <w:tcPr>
            <w:tcW w:type="dxa" w:w="11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13</w:t>
            </w:r>
          </w:p>
        </w:tc>
        <w:tc>
          <w:tcPr>
            <w:tcW w:type="dxa" w:w="53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AME-06, AME-08, AME-09, AME-10, AME-14, AME-17, AME-20, AME-25, AME-26, AME-27, AME-30, AME-34, AME-41</w:t>
            </w:r>
          </w:p>
        </w:tc>
      </w:tr>
      <w:tr>
        <w:trPr>
          <w:cantSplit/>
        </w:trPr>
        <w:tc>
          <w:tcPr>
            <w:tcW w:type="dxa" w:w="29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Manipulación (T)</w:t>
            </w:r>
          </w:p>
        </w:tc>
        <w:tc>
          <w:tcPr>
            <w:tcW w:type="dxa" w:w="11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9</w:t>
            </w:r>
          </w:p>
        </w:tc>
        <w:tc>
          <w:tcPr>
            <w:tcW w:type="dxa" w:w="53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AME-05, AME-07, AME-12, AME-22, AME-32, AME-33, AME-35, AME-36, AME-39</w:t>
            </w:r>
          </w:p>
        </w:tc>
      </w:tr>
      <w:tr>
        <w:trPr>
          <w:cantSplit/>
        </w:trPr>
        <w:tc>
          <w:tcPr>
            <w:tcW w:type="dxa" w:w="29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Suplantación (S)</w:t>
            </w:r>
          </w:p>
        </w:tc>
        <w:tc>
          <w:tcPr>
            <w:tcW w:type="dxa" w:w="11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6</w:t>
            </w:r>
          </w:p>
        </w:tc>
        <w:tc>
          <w:tcPr>
            <w:tcW w:type="dxa" w:w="53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AME-02, AME-03, AME-04, AME-15, AME-16, AME-38</w:t>
            </w:r>
          </w:p>
        </w:tc>
      </w:tr>
      <w:tr>
        <w:trPr>
          <w:cantSplit/>
        </w:trPr>
        <w:tc>
          <w:tcPr>
            <w:tcW w:type="dxa" w:w="29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Denegación de servicio (D)</w:t>
            </w:r>
          </w:p>
        </w:tc>
        <w:tc>
          <w:tcPr>
            <w:tcW w:type="dxa" w:w="11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5</w:t>
            </w:r>
          </w:p>
        </w:tc>
        <w:tc>
          <w:tcPr>
            <w:tcW w:type="dxa" w:w="53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AME-01, AME-11, AME-18, AME-28, AME-31</w:t>
            </w:r>
          </w:p>
        </w:tc>
      </w:tr>
      <w:tr>
        <w:trPr>
          <w:cantSplit/>
        </w:trPr>
        <w:tc>
          <w:tcPr>
            <w:tcW w:type="dxa" w:w="29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Elevación de privilegios (E)</w:t>
            </w:r>
          </w:p>
        </w:tc>
        <w:tc>
          <w:tcPr>
            <w:tcW w:type="dxa" w:w="11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5</w:t>
            </w:r>
          </w:p>
        </w:tc>
        <w:tc>
          <w:tcPr>
            <w:tcW w:type="dxa" w:w="53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AME-13, AME-19, AME-21, AME-23, AME-37</w:t>
            </w:r>
          </w:p>
        </w:tc>
      </w:tr>
      <w:tr>
        <w:trPr>
          <w:cantSplit/>
        </w:trPr>
        <w:tc>
          <w:tcPr>
            <w:tcW w:type="dxa" w:w="29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Repudio (R)</w:t>
            </w:r>
          </w:p>
        </w:tc>
        <w:tc>
          <w:tcPr>
            <w:tcW w:type="dxa" w:w="11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6"/>
              </w:rPr>
              <w:t>3</w:t>
            </w:r>
          </w:p>
        </w:tc>
        <w:tc>
          <w:tcPr>
            <w:tcW w:type="dxa" w:w="53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AME-24, AME-29, AME-40</w:t>
            </w:r>
          </w:p>
        </w:tc>
      </w:tr>
      <w:tr>
        <w:trPr>
          <w:cantSplit/>
        </w:trPr>
        <w:tc>
          <w:tcPr>
            <w:tcW w:type="dxa" w:w="29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6"/>
              </w:rPr>
              <w:t>Total</w:t>
            </w:r>
          </w:p>
        </w:tc>
        <w:tc>
          <w:tcPr>
            <w:tcW w:type="dxa" w:w="11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6"/>
              </w:rPr>
              <w:t>41</w:t>
            </w:r>
          </w:p>
        </w:tc>
        <w:tc>
          <w:tcPr>
            <w:tcW w:type="dxa" w:w="536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6"/>
              </w:rPr>
            </w:r>
          </w:p>
        </w:tc>
      </w:tr>
    </w:tbl>
    <w:p>
      <w:pPr>
        <w:spacing w:line="480" w:lineRule="auto" w:before="0" w:after="160"/>
        <w:jc w:val="both"/>
      </w:pPr>
      <w:r>
        <w:rPr>
          <w:i/>
          <w:sz w:val="24"/>
        </w:rPr>
        <w:t xml:space="preserve">Nota. </w:t>
      </w:r>
      <w:r>
        <w:rPr>
          <w:sz w:val="24"/>
        </w:rPr>
        <w:t>Elaboración propia a partir del modelo de amenazas T2.</w:t>
      </w:r>
    </w:p>
    <w:p>
      <w:pPr>
        <w:spacing w:before="0" w:after="160" w:line="480" w:lineRule="auto"/>
        <w:sectPr>
          <w:headerReference w:type="default" r:id="rId7"/>
          <w:pgSz w:w="12240" w:h="15840"/>
          <w:pgMar w:top="1440" w:right="1440" w:bottom="1440" w:left="1440" w:header="720" w:footer="720" w:gutter="0"/>
          <w:cols w:space="720"/>
          <w:docGrid w:linePitch="360"/>
        </w:sectPr>
      </w:pPr>
    </w:p>
    <w:p>
      <w:pPr>
        <w:keepNext/>
        <w:spacing w:before="0" w:line="480" w:lineRule="auto" w:after="160"/>
      </w:pPr>
      <w:r>
        <w:rPr>
          <w:b/>
        </w:rPr>
        <w:t>Tabla 17</w:t>
      </w:r>
    </w:p>
    <w:p>
      <w:pPr>
        <w:keepNext/>
        <w:spacing w:line="480" w:lineRule="auto" w:after="160" w:before="0"/>
      </w:pPr>
      <w:r>
        <w:rPr>
          <w:i/>
        </w:rPr>
        <w:t>Catálogo de amenazas STRIDE de Q-Wallet</w:t>
      </w:r>
    </w:p>
    <w:tbl>
      <w:tblPr>
        <w:tblW w:w="12950" w:type="dxa"/>
        <w:jc w:val="center"/>
        <w:tblLayout w:type="fixed"/>
        <w:tblLook w:firstColumn="1" w:firstRow="1" w:lastColumn="0" w:lastRow="0" w:noHBand="0" w:noVBand="1" w:val="04A0"/>
      </w:tblPr>
      <w:tblGrid>
        <w:gridCol w:w="650"/>
        <w:gridCol w:w="2600"/>
        <w:gridCol w:w="850"/>
        <w:gridCol w:w="1500"/>
        <w:gridCol w:w="4600"/>
        <w:gridCol w:w="1200"/>
        <w:gridCol w:w="1550"/>
      </w:tblGrid>
      <w:tr>
        <w:trPr>
          <w:cantSplit/>
          <w:tblHeader/>
        </w:trPr>
        <w:tc>
          <w:tcPr>
            <w:tcW w:type="dxa" w:w="65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4"/>
              </w:rPr>
              <w:t>AME</w:t>
            </w:r>
          </w:p>
        </w:tc>
        <w:tc>
          <w:tcPr>
            <w:tcW w:type="dxa" w:w="26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4"/>
              </w:rPr>
              <w:t>Elemento o flujo del DFD</w:t>
            </w:r>
          </w:p>
        </w:tc>
        <w:tc>
          <w:tcPr>
            <w:tcW w:type="dxa" w:w="85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4"/>
              </w:rPr>
              <w:t>Frontera</w:t>
            </w:r>
          </w:p>
        </w:tc>
        <w:tc>
          <w:tcPr>
            <w:tcW w:type="dxa" w:w="15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4"/>
              </w:rPr>
              <w:t>STRIDE</w:t>
            </w:r>
          </w:p>
        </w:tc>
        <w:tc>
          <w:tcPr>
            <w:tcW w:type="dxa" w:w="46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4"/>
              </w:rPr>
              <w:t>Descripción</w:t>
            </w:r>
          </w:p>
        </w:tc>
        <w:tc>
          <w:tcPr>
            <w:tcW w:type="dxa" w:w="12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4"/>
              </w:rPr>
              <w:t>Activos</w:t>
            </w:r>
          </w:p>
        </w:tc>
        <w:tc>
          <w:tcPr>
            <w:tcW w:type="dxa" w:w="155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4"/>
              </w:rPr>
              <w:t>Control (CTRL)</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AME-01</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0: Sistema Q-Wallet</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TB2</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Denegación de servicio (D)</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Indisponibilidad de la región us-east-1. Una falla de los centros de datos de AWS en us-east-1 deja sin servicio a toda la billetera, porque el despliegue es de una sola región.</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ACT-20, ACT-23</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 xml:space="preserve">— (riesgo aceptado; ver sección 2.5.2)</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AME-02</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Cliente</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TB1</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Suplantación (S)</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Uso de la app desde un dispositivo perdido o robado. Un tercero con el teléfono desbloqueado intenta operar la sesión abierta del cliente.</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ACT-18, ACT-03</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CTRL-07, CTRL-18</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AME-03</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Administrador de soporte</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TB2</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Suplantación (S)</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Ingeniería social contra personal de soporte. Un atacante convence a un administrador de bloquear o desbloquear cuentas haciéndose pasar por el cliente o por la gerencia.</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ACT-22, ACT-01</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CTRL-18, CTRL-20, CTRL-23</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AME-04</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Flujo «OAuth2 code + PKCE / tokens» (App Android Q-Wallet → Cognito User Pool (managed login))</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TB1, TB2</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Suplantación (S)</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Toma de cuenta con credenciales obtenidas por phishing. El atacante obtiene usuario y contraseña con una página falsa e inicia sesión como el cliente.</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ACT-03, ACT-02</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CTRL-18</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AME-05</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Flujo «REST + JWT + Idempotency-Key» (App Android Q-Wallet → AWS WAF)</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TB1, TB2</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Manipulación (T)</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Modificación de una transferencia en tránsito. Con un proxy y un certificado instalado en el dispositivo se altera el monto o el destinatario antes de llegar a API Gateway.</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ACT-02</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CTRL-08</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AME-06</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Flujo «REST + JWT + Idempotency-Key» (App Android Q-Wallet → AWS WAF)</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TB1, TB2</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Divulgación de información (I)</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Intercepción de tokens y datos personales. La misma posición intermedia permite leer el JWT y las respuestas con saldo y datos personales.</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ACT-03, ACT-01</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CTRL-08, CTRL-03</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AME-07</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App Android Q-Wallet</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TB1</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Manipulación (T)</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Ingeniería inversa y hooking de la app. Con Frida u objection se modifica la lógica del cliente para saltar el desbloqueo biométrico o alterar validaciones locales.</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ACT-10</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CTRL-15</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AME-08</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App Android Q-Wallet</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TB1</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Divulgación de información (I)</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Secretos embebidos en el APK. Una llave o credencial incluida en el paquete puede extraerse con apktool por cualquier persona que descargue la app.</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ACT-07, ACT-10</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CTRL-16</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AME-09</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App Android Q-Wallet</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TB1</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Divulgación de información (I)</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Exposición de saldo en capturas y vista de apps recientes. Otra app o el selector de tareas del sistema registran la pantalla con saldo, PIN o datos personales.</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ACT-01, ACT-02</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CTRL-22</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AME-10</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Android Keystore (expo-secure-store)</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TB1</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Divulgación de información (I)</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Extracción de tokens del almacenamiento del dispositivo. En un dispositivo con root o malware se intenta leer los tokens guardados por la app.</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ACT-03, ACT-18</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CTRL-07, CTRL-15</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AME-11</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AWS WAF</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TB2</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Denegación de servicio (D)</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Saturación de la API y consumo de costo. Un volumen alto de solicitudes agota el throttling y genera costo de invocaciones en la cuenta.</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ACT-12, ACT-23</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CTRL-17, CTRL-05</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AME-12</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AWS WAF</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TB2</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Manipulación (T)</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Envío de cargas maliciosas y entradas malformadas. Cargas de inyección o tipos inesperados en el cuerpo, la ruta o los parámetros buscan alterar las consultas o el flujo del handler.</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ACT-11, ACT-14</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CTRL-04, CTRL-17</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AME-13</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API Gateway REST + Cognito Authorizer</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TB2</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Elevación de privilegios (E)</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Ruta publicada sin Cognito Authorizer. Un error en Terraform deja un método con autorización NONE y expone el servicio sin autenticación.</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ACT-12, ACT-11</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CTRL-12, CTRL-18</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AME-14</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API Gateway REST + Cognito Authorizer</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TB2</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Divulgación de información (I)</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Mensajes de error con detalle interno. Las respuestas de error devuelven trazas, nombres de tablas o estructuras internas que orientan al atacante.</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ACT-11, ACT-14</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CTRL-13</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AME-15</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Cognito User Pool (managed login)</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TB2</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Suplantación (S)</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Credential stuffing contra el managed login. Listas de credenciales filtradas en otros servicios se prueban de forma automatizada contra Cognito.</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ACT-03, ACT-13</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CTRL-18</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AME-16</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Cognito User Pool (managed login)</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TB2</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Suplantación (S)</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Token JWT alterado o falsificado. Se modifica el payload del token, se cambia el algoritmo o se reutiliza un token vencido para suplantar a otro usuario.</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ACT-03, ACT-13</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CTRL-18</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AME-17</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svc-accounts</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TB3</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Divulgación de información (I)</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Lectura de movimientos de una cuenta ajena (BOLA). El cliente cambia el accountId en la ruta y obtiene movimientos de otra persona.</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ACT-02, ACT-01</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CTRL-01</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AME-18</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svc-accounts</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TB3</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Denegación de servicio (D)</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Consulta sin límite en movimientos. Un parámetro limit muy alto obliga a leer miles de registros por solicitud y degrada el servicio.</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ACT-11, ACT-14</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CTRL-05</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AME-19</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Flujo «Lectura/escritura» (svc-accounts → DynamoDB (cifrado KMS CMK))</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TB4</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Elevación de privilegios (E)</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Rol IAM de Lambda con permisos excesivos. Si un servicio es comprometido y su rol permite acceso a todas las tablas, el atacante lee o modifica datos ajenos a ese servicio.</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ACT-11, ACT-14</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CTRL-12</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AME-20</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svc-profile</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TB3</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Divulgación de información (I)</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Enumeración de usuarios por número de teléfono. Recorriendo números en /users/search se confirma quién usa Q-Wallet y se obtienen nombres y datos asociados.</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ACT-01</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CTRL-03, CTRL-05</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AME-21</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svc-profile</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TB3</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Elevación de privilegios (E)</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Asignación masiva de atributos en PATCH /me. El cliente agrega campos como role o status al cuerpo de la solicitud para elevar su nivel de acceso.</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ACT-01, ACT-13</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CTRL-04, CTRL-14</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AME-22</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svc-budgets</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TB3</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Manipulación (T)</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Modificación de presupuestos de otro usuario. Con el identificador de un presupuesto ajeno se ejecuta PUT /budgets sobre datos de otro cliente.</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ACT-02</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CTRL-01, CTRL-04</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AME-23</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svc-admin</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TB3</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Elevación de privilegios (E)</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Acceso de un cliente a /admin/* (BFLA). Un cliente autenticado invoca endpoints administrativos para listar o bloquear usuarios.</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ACT-01, ACT-22</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CTRL-14</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AME-24</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svc-admin</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TB3</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Repudio (R)</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Acciones administrativas sin trazabilidad. Un administrador bloquea cuentas o consulta auditoría y luego niega haberlo hecho.</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ACT-05, ACT-22</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CTRL-09, CTRL-20</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AME-25</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Flujo «Logs JSON (todas las Lambdas)» (svc-admin → CloudWatch Logs / CloudTrail -&gt; S3)</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TB4</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Divulgación de información (I)</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Tokens o datos personales escritos en logs. Un log de depuración registra el JWT, el DPI o el teléfono y cualquiera con acceso a CloudWatch puede leerlo.</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ACT-05, ACT-03, ACT-01</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CTRL-09</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AME-26</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DynamoDB (cifrado KMS CMK)</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TB4</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Divulgación de información (I)</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Acceso a datos en reposo o a exportaciones de DynamoDB. Una exportación o respaldo de tablas accesible fuera del servicio expone saldos y datos personales.</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ACT-14, ACT-02, ACT-01</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CTRL-19, CTRL-12</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AME-27</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SSM Parameter Store (SecureString)</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TB4</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Divulgación de información (I)</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Lectura de secretos por un rol no autorizado. Un rol con permisos amplios sobre SSM obtiene parámetros de otros servicios.</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ACT-07</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CTRL-12, CTRL-16</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AME-28</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AWS KMS (CMK)</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TB4</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Denegación de servicio (D)</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Deshabilitación o eliminación programada de la CMK. Con credenciales de administración de la cuenta se deshabilita la llave y los datos cifrados quedan inaccesibles.</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ACT-06, ACT-14</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CTRL-12, CTRL-20</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AME-29</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CloudWatch Logs / CloudTrail -&gt; S3</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TB4</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Repudio (R)</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Borrado o alteración de CloudTrail para ocultar actividad. Un atacante con acceso a la cuenta detiene CloudTrail o borra objetos del bucket de registros.</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ACT-05</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CTRL-12, CTRL-20</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AME-30</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CloudWatch Logs / CloudTrail -&gt; S3</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TB4</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Divulgación de información (I)</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Bucket S3 público con registros o estado de Terraform. Un bucket sin Block Public Access expone registros de la cuenta o el estado de Terraform con atributos sensibles.</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ACT-09, ACT-05</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CTRL-12</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AME-31</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Wazuh SIEM (Docker local)</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TB6</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Denegación de servicio (D)</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SIEM local apagado o comprometido. Wazuh corre en Docker en una estación del equipo; si está apagado o comprometido no se generan alertas.</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ACT-28, ACT-19</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 xml:space="preserve">CTRL-20 (solo CloudTrail; riesgo aceptado)</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AME-32</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Flujo «Imagen y despliegue (OIDC)» (GitHub Actions → Amazon ECR (imágenes))</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TB5</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Manipulación (T)</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Compromiso del pipeline de despliegue. Una Action de terceros alterada o un cambio no revisado en main despliega código malicioso en AWS.</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ACT-16, ACT-11</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CTRL-21, CTRL-10</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AME-33</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GitHub Actions</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TB5</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Manipulación (T)</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Dependencia npm vulnerable o maliciosa. Un paquete con una vulnerabilidad conocida o código malicioso entra a la app o a un servicio.</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ACT-17, ACT-10, ACT-11</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CTRL-10</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AME-34</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GitHub Actions</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TB5</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Divulgación de información (I)</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Secretos en el historial de un repositorio público. Un secreto que se suba en cualquier commit queda visible para todo Internet aunque luego se borre del archivo.</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ACT-07, ACT-08</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CTRL-16, CTRL-21</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AME-35</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1: Amazon ECR (imágenes)</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TB4</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Manipulación (T)</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Imagen de contenedor alterada o con base vulnerable. Una imagen base sin fijar o modificada en ECR ejecuta componentes no revisados con el rol de la Lambda.</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ACT-15, ACT-11</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CTRL-11</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AME-36</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2: 2.1 Validación zod .strict()</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TB3</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Manipulación (T)</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Monto negativo, decimal o fuera de rango. El cliente envía un monto negativo, con decimales o mayor al permitido para invertir la dirección del dinero o provocar errores de cálculo.</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ACT-02</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CTRL-04, CTRL-06</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AME-37</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2: 2.2 Autorización de objeto</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TB3</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Elevación de privilegios (E)</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Transferencia desde una cuenta origen ajena. El cliente indica en la solicitud una cuenta origen que no le pertenece.</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ACT-02</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CTRL-01</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AME-38</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2: 2.3 Verificación del PIN</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TB3</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Suplantación (S)</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Fuerza bruta del PIN de transacción. Con un token válido se prueban PIN de forma automatizada hasta autorizar una transferencia.</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ACT-04, ACT-02</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CTRL-02</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AME-39</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2: 2.5 Escritura transaccional</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TB4</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Manipulación (T)</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Doble gasto por solicitudes concurrentes. Varias solicitudes simultáneas con el mismo saldo pasan la validación antes de que se descuente el primero.</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ACT-02</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CTRL-06</w:t>
            </w:r>
          </w:p>
        </w:tc>
      </w:tr>
      <w:tr>
        <w:trPr>
          <w:cantSplit/>
        </w:trPr>
        <w:tc>
          <w:tcPr>
            <w:tcW w:type="dxa" w:w="6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AME-40</w:t>
            </w:r>
          </w:p>
        </w:tc>
        <w:tc>
          <w:tcPr>
            <w:tcW w:type="dxa" w:w="2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Nivel 2: 2.6 Registro de auditoría</w:t>
            </w:r>
          </w:p>
        </w:tc>
        <w:tc>
          <w:tcPr>
            <w:tcW w:type="dxa" w:w="85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TB4</w:t>
            </w:r>
          </w:p>
        </w:tc>
        <w:tc>
          <w:tcPr>
            <w:tcW w:type="dxa" w:w="15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Repudio (R)</w:t>
            </w:r>
          </w:p>
        </w:tc>
        <w:tc>
          <w:tcPr>
            <w:tcW w:type="dxa" w:w="4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Cliente niega haber realizado una transferencia. Sin registro del sub, el PIN validado, la Idempotency-Key y la hora, el cliente puede negar la operación.</w:t>
            </w:r>
          </w:p>
        </w:tc>
        <w:tc>
          <w:tcPr>
            <w:tcW w:type="dxa" w:w="12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ACT-05, ACT-02</w:t>
            </w:r>
          </w:p>
        </w:tc>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CTRL-09, CTRL-20, CTRL-02</w:t>
            </w:r>
          </w:p>
        </w:tc>
      </w:tr>
      <w:tr>
        <w:trPr>
          <w:cantSplit/>
        </w:trPr>
        <w:tc>
          <w:tcPr>
            <w:tcW w:type="dxa" w:w="65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4"/>
              </w:rPr>
              <w:t>AME-41</w:t>
            </w:r>
          </w:p>
        </w:tc>
        <w:tc>
          <w:tcPr>
            <w:tcW w:type="dxa" w:w="26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4"/>
              </w:rPr>
              <w:t>Nivel 1: Flujo «Eventos para correlación» (CloudWatch Logs / CloudTrail -&gt; S3 → Wazuh SIEM (Docker local))</w:t>
            </w:r>
          </w:p>
        </w:tc>
        <w:tc>
          <w:tcPr>
            <w:tcW w:type="dxa" w:w="85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4"/>
              </w:rPr>
              <w:t>TB4, TB6</w:t>
            </w:r>
          </w:p>
        </w:tc>
        <w:tc>
          <w:tcPr>
            <w:tcW w:type="dxa" w:w="15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4"/>
              </w:rPr>
              <w:t>Divulgación de información (I)</w:t>
            </w:r>
          </w:p>
        </w:tc>
        <w:tc>
          <w:tcPr>
            <w:tcW w:type="dxa" w:w="46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4"/>
              </w:rPr>
              <w:t>Lectura de los registros de AWS con las credenciales del SIEM local. Wazuh lee los registros de S3 con un usuario IAM propio cuyas llaves de acceso se guardan en la estación local. Quien comprometa esa estación puede usarlas para leer los registros de toda la cuenta AWS.</w:t>
            </w:r>
          </w:p>
        </w:tc>
        <w:tc>
          <w:tcPr>
            <w:tcW w:type="dxa" w:w="12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4"/>
              </w:rPr>
              <w:t>ACT-05, ACT-28, ACT-19</w:t>
            </w:r>
          </w:p>
        </w:tc>
        <w:tc>
          <w:tcPr>
            <w:tcW w:type="dxa" w:w="155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4"/>
              </w:rPr>
              <w:t>CTRL-12, CTRL-16, CTRL-20</w:t>
            </w:r>
          </w:p>
        </w:tc>
      </w:tr>
    </w:tbl>
    <w:p>
      <w:pPr>
        <w:spacing w:line="480" w:lineRule="auto" w:before="0" w:after="160"/>
        <w:jc w:val="both"/>
      </w:pPr>
      <w:r>
        <w:rPr>
          <w:i/>
          <w:sz w:val="24"/>
        </w:rPr>
        <w:t xml:space="preserve">Nota. </w:t>
      </w:r>
      <w:r>
        <w:rPr>
          <w:sz w:val="24"/>
        </w:rPr>
        <w:t>Elaboración propia a partir del modelo de amenazas T2 en OWASP Threat Dragon. Los controles CTRL-01 a CTRL-23 se describen en la sección 1.5 (Tabla 9). CTRL-23 es un control de procedimiento para AME-03: verificación de la identidad del cliente por un canal distinto antes de que soporte bloquee, desbloquee o cambie datos de una cuenta, y capacitación anual contra ingeniería social; cubre la decisión humana que ningún control técnico cubre y no cambia el riesgo residual proyectado de AME-03. AME-41 cruza dos fronteras porque las credenciales del SIEM local (TB6) leen los registros de AWS (TB4).</w:t>
      </w:r>
    </w:p>
    <w:p>
      <w:pPr>
        <w:spacing w:before="0" w:after="160" w:line="480" w:lineRule="auto"/>
        <w:sectPr>
          <w:headerReference w:type="default" r:id="rId7"/>
          <w:pgSz w:w="15840" w:h="12240" w:orient="landscape"/>
          <w:pgMar w:top="1440" w:right="1440" w:bottom="1440" w:left="1440" w:header="720" w:footer="720" w:gutter="0"/>
          <w:cols w:space="720"/>
          <w:docGrid w:linePitch="360"/>
        </w:sectPr>
      </w:pPr>
    </w:p>
    <w:p>
      <w:pPr>
        <w:spacing w:before="0" w:after="160" w:line="480" w:lineRule="auto"/>
        <w:ind w:firstLine="720"/>
        <w:jc w:val="both"/>
      </w:pPr>
      <w:r>
        <w:t>Además de las 41 amenazas, el análisis por elemento produjo 14 casos en los que una categoría STRIDE aplicable al tipo de elemento no se registró como amenaza separada, porque ya está cubierta por otra amenaza del modelo o porque el elemento se descompone en el nivel 2. Documentar estos casos demuestra que cada elemento se revisó contra todas sus categorías y evita amenazas duplicadas. La Tabla 18 los resume.</w:t>
      </w:r>
    </w:p>
    <w:p>
      <w:pPr>
        <w:keepNext/>
        <w:spacing w:before="0" w:line="480" w:lineRule="auto" w:after="160"/>
      </w:pPr>
      <w:r>
        <w:rPr>
          <w:b/>
        </w:rPr>
        <w:t>Tabla 18</w:t>
      </w:r>
    </w:p>
    <w:p>
      <w:pPr>
        <w:keepNext/>
        <w:spacing w:line="480" w:lineRule="auto" w:after="160" w:before="0"/>
      </w:pPr>
      <w:r>
        <w:rPr>
          <w:i/>
        </w:rPr>
        <w:t xml:space="preserve">Categorías STRIDE revisadas sin amenaza separada</w:t>
      </w:r>
    </w:p>
    <w:tbl>
      <w:tblPr>
        <w:tblW w:w="9360" w:type="dxa"/>
        <w:jc w:val="center"/>
        <w:tblLayout w:type="fixed"/>
        <w:tblLook w:firstColumn="1" w:firstRow="1" w:lastColumn="0" w:lastRow="0" w:noHBand="0" w:noVBand="1" w:val="04A0"/>
      </w:tblPr>
      <w:tblGrid>
        <w:gridCol w:w="3300"/>
        <w:gridCol w:w="1900"/>
        <w:gridCol w:w="2560"/>
        <w:gridCol w:w="1600"/>
      </w:tblGrid>
      <w:tr>
        <w:trPr>
          <w:cantSplit/>
          <w:tblHeader/>
        </w:trPr>
        <w:tc>
          <w:tcPr>
            <w:tcW w:type="dxa" w:w="33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5"/>
              </w:rPr>
              <w:t>Elemento o flujo</w:t>
            </w:r>
          </w:p>
        </w:tc>
        <w:tc>
          <w:tcPr>
            <w:tcW w:type="dxa" w:w="19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5"/>
              </w:rPr>
              <w:t>STRIDE</w:t>
            </w:r>
          </w:p>
        </w:tc>
        <w:tc>
          <w:tcPr>
            <w:tcW w:type="dxa" w:w="256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5"/>
              </w:rPr>
              <w:t>Amenaza considerada</w:t>
            </w:r>
          </w:p>
        </w:tc>
        <w:tc>
          <w:tcPr>
            <w:tcW w:type="dxa" w:w="16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5"/>
              </w:rPr>
              <w:t>Cubierta por</w:t>
            </w:r>
          </w:p>
        </w:tc>
      </w:tr>
      <w:tr>
        <w:trPr>
          <w:cantSplit/>
        </w:trPr>
        <w:tc>
          <w:tcPr>
            <w:tcW w:type="dxa" w:w="3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Nivel 1: svc-transfers (ver Nivel 2)</w:t>
            </w:r>
          </w:p>
        </w:tc>
        <w:tc>
          <w:tcPr>
            <w:tcW w:type="dxa" w:w="19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Manipulación (T)</w:t>
            </w:r>
          </w:p>
        </w:tc>
        <w:tc>
          <w:tcPr>
            <w:tcW w:type="dxa" w:w="25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Amenazas de svc-transfers detalladas en el Nivel 2</w:t>
            </w:r>
          </w:p>
        </w:tc>
        <w:tc>
          <w:tcPr>
            <w:tcW w:type="dxa" w:w="1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AME-36, AME-40</w:t>
            </w:r>
          </w:p>
        </w:tc>
      </w:tr>
      <w:tr>
        <w:trPr>
          <w:cantSplit/>
        </w:trPr>
        <w:tc>
          <w:tcPr>
            <w:tcW w:type="dxa" w:w="3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Nivel 1: Flujo «Credenciales, PIN, transferencias» (Cliente → App Android Q-Wallet)</w:t>
            </w:r>
          </w:p>
        </w:tc>
        <w:tc>
          <w:tcPr>
            <w:tcW w:type="dxa" w:w="19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Divulgación de información (I)</w:t>
            </w:r>
          </w:p>
        </w:tc>
        <w:tc>
          <w:tcPr>
            <w:tcW w:type="dxa" w:w="25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Captura de credenciales y PIN en la entrada local</w:t>
            </w:r>
          </w:p>
        </w:tc>
        <w:tc>
          <w:tcPr>
            <w:tcW w:type="dxa" w:w="1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AME-02, AME-07, AME-09, AME-10</w:t>
            </w:r>
          </w:p>
        </w:tc>
      </w:tr>
      <w:tr>
        <w:trPr>
          <w:cantSplit/>
        </w:trPr>
        <w:tc>
          <w:tcPr>
            <w:tcW w:type="dxa" w:w="3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Nivel 1: Flujo «/admin/* con JWT admins» (Administrador de soporte → AWS WAF)</w:t>
            </w:r>
          </w:p>
        </w:tc>
        <w:tc>
          <w:tcPr>
            <w:tcW w:type="dxa" w:w="19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Divulgación de información (I)</w:t>
            </w:r>
          </w:p>
        </w:tc>
        <w:tc>
          <w:tcPr>
            <w:tcW w:type="dxa" w:w="25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Intercepción del token del administrador</w:t>
            </w:r>
          </w:p>
        </w:tc>
        <w:tc>
          <w:tcPr>
            <w:tcW w:type="dxa" w:w="1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AME-06; además, CTRL-18</w:t>
            </w:r>
          </w:p>
        </w:tc>
      </w:tr>
      <w:tr>
        <w:trPr>
          <w:cantSplit/>
        </w:trPr>
        <w:tc>
          <w:tcPr>
            <w:tcW w:type="dxa" w:w="3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Nivel 1: Flujo «Evento + claims» (API Gateway REST + Cognito Authorizer → svc-profile)</w:t>
            </w:r>
          </w:p>
        </w:tc>
        <w:tc>
          <w:tcPr>
            <w:tcW w:type="dxa" w:w="19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Manipulación (T)</w:t>
            </w:r>
          </w:p>
        </w:tc>
        <w:tc>
          <w:tcPr>
            <w:tcW w:type="dxa" w:w="25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Alteración de los claims entre API Gateway y la Lambda</w:t>
            </w:r>
          </w:p>
        </w:tc>
        <w:tc>
          <w:tcPr>
            <w:tcW w:type="dxa" w:w="1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AME-13, AME-16, AME-19</w:t>
            </w:r>
          </w:p>
        </w:tc>
      </w:tr>
      <w:tr>
        <w:trPr>
          <w:cantSplit/>
        </w:trPr>
        <w:tc>
          <w:tcPr>
            <w:tcW w:type="dxa" w:w="3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Nivel 1: Flujo «Evento + claims» (API Gateway REST + Cognito Authorizer → svc-accounts)</w:t>
            </w:r>
          </w:p>
        </w:tc>
        <w:tc>
          <w:tcPr>
            <w:tcW w:type="dxa" w:w="19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Manipulación (T)</w:t>
            </w:r>
          </w:p>
        </w:tc>
        <w:tc>
          <w:tcPr>
            <w:tcW w:type="dxa" w:w="25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Alteración de los claims entre API Gateway y la Lambda</w:t>
            </w:r>
          </w:p>
        </w:tc>
        <w:tc>
          <w:tcPr>
            <w:tcW w:type="dxa" w:w="1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AME-13, AME-16, AME-19</w:t>
            </w:r>
          </w:p>
        </w:tc>
      </w:tr>
      <w:tr>
        <w:trPr>
          <w:cantSplit/>
        </w:trPr>
        <w:tc>
          <w:tcPr>
            <w:tcW w:type="dxa" w:w="3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Nivel 1: Flujo «Evento + claims» (API Gateway REST + Cognito Authorizer → svc-transfers (ver Nivel 2))</w:t>
            </w:r>
          </w:p>
        </w:tc>
        <w:tc>
          <w:tcPr>
            <w:tcW w:type="dxa" w:w="19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Manipulación (T)</w:t>
            </w:r>
          </w:p>
        </w:tc>
        <w:tc>
          <w:tcPr>
            <w:tcW w:type="dxa" w:w="25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Alteración de los claims entre API Gateway y la Lambda</w:t>
            </w:r>
          </w:p>
        </w:tc>
        <w:tc>
          <w:tcPr>
            <w:tcW w:type="dxa" w:w="1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AME-13, AME-16, AME-19</w:t>
            </w:r>
          </w:p>
        </w:tc>
      </w:tr>
      <w:tr>
        <w:trPr>
          <w:cantSplit/>
        </w:trPr>
        <w:tc>
          <w:tcPr>
            <w:tcW w:type="dxa" w:w="3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Nivel 1: Flujo «Evento + claims» (API Gateway REST + Cognito Authorizer → svc-budgets)</w:t>
            </w:r>
          </w:p>
        </w:tc>
        <w:tc>
          <w:tcPr>
            <w:tcW w:type="dxa" w:w="19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Manipulación (T)</w:t>
            </w:r>
          </w:p>
        </w:tc>
        <w:tc>
          <w:tcPr>
            <w:tcW w:type="dxa" w:w="25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Alteración de los claims entre API Gateway y la Lambda</w:t>
            </w:r>
          </w:p>
        </w:tc>
        <w:tc>
          <w:tcPr>
            <w:tcW w:type="dxa" w:w="1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AME-13, AME-16, AME-19</w:t>
            </w:r>
          </w:p>
        </w:tc>
      </w:tr>
      <w:tr>
        <w:trPr>
          <w:cantSplit/>
        </w:trPr>
        <w:tc>
          <w:tcPr>
            <w:tcW w:type="dxa" w:w="3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Nivel 1: Flujo «Evento + claims» (API Gateway REST + Cognito Authorizer → svc-admin)</w:t>
            </w:r>
          </w:p>
        </w:tc>
        <w:tc>
          <w:tcPr>
            <w:tcW w:type="dxa" w:w="19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Manipulación (T)</w:t>
            </w:r>
          </w:p>
        </w:tc>
        <w:tc>
          <w:tcPr>
            <w:tcW w:type="dxa" w:w="25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Alteración de los claims entre API Gateway y la Lambda</w:t>
            </w:r>
          </w:p>
        </w:tc>
        <w:tc>
          <w:tcPr>
            <w:tcW w:type="dxa" w:w="1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AME-13, AME-16, AME-19</w:t>
            </w:r>
          </w:p>
        </w:tc>
      </w:tr>
      <w:tr>
        <w:trPr>
          <w:cantSplit/>
        </w:trPr>
        <w:tc>
          <w:tcPr>
            <w:tcW w:type="dxa" w:w="3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Nivel 1: Flujo «Parámetros (todas las Lambdas)» (svc-transfers (ver Nivel 2) → SSM Parameter Store (SecureString))</w:t>
            </w:r>
          </w:p>
        </w:tc>
        <w:tc>
          <w:tcPr>
            <w:tcW w:type="dxa" w:w="19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Divulgación de información (I)</w:t>
            </w:r>
          </w:p>
        </w:tc>
        <w:tc>
          <w:tcPr>
            <w:tcW w:type="dxa" w:w="25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Lectura de parámetros en tránsito hacia SSM</w:t>
            </w:r>
          </w:p>
        </w:tc>
        <w:tc>
          <w:tcPr>
            <w:tcW w:type="dxa" w:w="1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AME-27</w:t>
            </w:r>
          </w:p>
        </w:tc>
      </w:tr>
      <w:tr>
        <w:trPr>
          <w:cantSplit/>
        </w:trPr>
        <w:tc>
          <w:tcPr>
            <w:tcW w:type="dxa" w:w="3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Nivel 2: 2.4 Control de idempotencia</w:t>
            </w:r>
          </w:p>
        </w:tc>
        <w:tc>
          <w:tcPr>
            <w:tcW w:type="dxa" w:w="19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Manipulación (T)</w:t>
            </w:r>
          </w:p>
        </w:tc>
        <w:tc>
          <w:tcPr>
            <w:tcW w:type="dxa" w:w="25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Repetición de solicitudes en el control de idempotencia</w:t>
            </w:r>
          </w:p>
        </w:tc>
        <w:tc>
          <w:tcPr>
            <w:tcW w:type="dxa" w:w="1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AME-39</w:t>
            </w:r>
          </w:p>
        </w:tc>
      </w:tr>
      <w:tr>
        <w:trPr>
          <w:cantSplit/>
        </w:trPr>
        <w:tc>
          <w:tcPr>
            <w:tcW w:type="dxa" w:w="3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Nivel 2: Datos lógicos: perfil y PIN (hash, intentos)</w:t>
            </w:r>
          </w:p>
        </w:tc>
        <w:tc>
          <w:tcPr>
            <w:tcW w:type="dxa" w:w="19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Divulgación de información (I)</w:t>
            </w:r>
          </w:p>
        </w:tc>
        <w:tc>
          <w:tcPr>
            <w:tcW w:type="dxa" w:w="25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Exposición del hash del PIN o alteración del contador de intentos</w:t>
            </w:r>
          </w:p>
        </w:tc>
        <w:tc>
          <w:tcPr>
            <w:tcW w:type="dxa" w:w="1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AME-19, AME-26, AME-38</w:t>
            </w:r>
          </w:p>
        </w:tc>
      </w:tr>
      <w:tr>
        <w:trPr>
          <w:cantSplit/>
        </w:trPr>
        <w:tc>
          <w:tcPr>
            <w:tcW w:type="dxa" w:w="3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Nivel 2: Datos lógicos: claves de idempotencia</w:t>
            </w:r>
          </w:p>
        </w:tc>
        <w:tc>
          <w:tcPr>
            <w:tcW w:type="dxa" w:w="19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Denegación de servicio (D)</w:t>
            </w:r>
          </w:p>
        </w:tc>
        <w:tc>
          <w:tcPr>
            <w:tcW w:type="dxa" w:w="25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Llenado masivo de claves de idempotencia</w:t>
            </w:r>
          </w:p>
        </w:tc>
        <w:tc>
          <w:tcPr>
            <w:tcW w:type="dxa" w:w="1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AME-11</w:t>
            </w:r>
          </w:p>
        </w:tc>
      </w:tr>
      <w:tr>
        <w:trPr>
          <w:cantSplit/>
        </w:trPr>
        <w:tc>
          <w:tcPr>
            <w:tcW w:type="dxa" w:w="3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Nivel 2: Datos lógicos: cuentas, saldos y transferencias</w:t>
            </w:r>
          </w:p>
        </w:tc>
        <w:tc>
          <w:tcPr>
            <w:tcW w:type="dxa" w:w="19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Manipulación (T)</w:t>
            </w:r>
          </w:p>
        </w:tc>
        <w:tc>
          <w:tcPr>
            <w:tcW w:type="dxa" w:w="25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Alteración directa de saldos en la tabla</w:t>
            </w:r>
          </w:p>
        </w:tc>
        <w:tc>
          <w:tcPr>
            <w:tcW w:type="dxa" w:w="16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AME-19, AME-26, AME-36, AME-37, AME-39</w:t>
            </w:r>
          </w:p>
        </w:tc>
      </w:tr>
      <w:tr>
        <w:trPr>
          <w:cantSplit/>
        </w:trPr>
        <w:tc>
          <w:tcPr>
            <w:tcW w:type="dxa" w:w="33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5"/>
              </w:rPr>
              <w:t>Nivel 2: CloudWatch Logs</w:t>
            </w:r>
          </w:p>
        </w:tc>
        <w:tc>
          <w:tcPr>
            <w:tcW w:type="dxa" w:w="19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5"/>
              </w:rPr>
              <w:t>Repudio (R)</w:t>
            </w:r>
          </w:p>
        </w:tc>
        <w:tc>
          <w:tcPr>
            <w:tcW w:type="dxa" w:w="256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5"/>
              </w:rPr>
              <w:t>Alteración del registro de auditoría</w:t>
            </w:r>
          </w:p>
        </w:tc>
        <w:tc>
          <w:tcPr>
            <w:tcW w:type="dxa" w:w="16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5"/>
              </w:rPr>
              <w:t>AME-25, AME-29</w:t>
            </w:r>
          </w:p>
        </w:tc>
      </w:tr>
    </w:tbl>
    <w:p>
      <w:pPr>
        <w:spacing w:line="480" w:lineRule="auto" w:before="0" w:after="160"/>
        <w:jc w:val="both"/>
      </w:pPr>
      <w:r>
        <w:rPr>
          <w:i/>
          <w:sz w:val="24"/>
        </w:rPr>
        <w:t xml:space="preserve">Nota. </w:t>
      </w:r>
      <w:r>
        <w:rPr>
          <w:sz w:val="24"/>
        </w:rPr>
        <w:t>Elaboración propia a partir de las justificaciones registradas en el modelo de amenazas T2.</w:t>
      </w:r>
    </w:p>
    <w:p>
      <w:pPr>
        <w:pStyle w:val="Heading2"/>
        <w:keepNext/>
        <w:keepLines/>
        <w:spacing w:before="0" w:after="160" w:line="480" w:lineRule="auto"/>
        <w:jc w:val="left"/>
        <w:outlineLvl w:val="1"/>
      </w:pPr>
      <w:r>
        <w:t>2.4 Valoración DREAD</w:t>
      </w:r>
    </w:p>
    <w:p>
      <w:pPr>
        <w:spacing w:before="0" w:after="160" w:line="480" w:lineRule="auto"/>
        <w:ind w:firstLine="720"/>
        <w:jc w:val="both"/>
      </w:pPr>
      <w:r>
        <w:t xml:space="preserve">Valoramos cada amenaza con DREAD (Howard y LeBlanc, 2003), que puntúa cinco factores de 1 a 10: el </w:t>
      </w:r>
      <w:r>
        <w:rPr>
          <w:b/>
        </w:rPr>
        <w:t>daño</w:t>
      </w:r>
      <w:r>
        <w:t xml:space="preserve"> potencial (D), la </w:t>
      </w:r>
      <w:r>
        <w:rPr>
          <w:b/>
        </w:rPr>
        <w:t>reproducibilidad</w:t>
      </w:r>
      <w:r>
        <w:t xml:space="preserve"> del ataque (R), la facilidad de </w:t>
      </w:r>
      <w:r>
        <w:rPr>
          <w:b/>
        </w:rPr>
        <w:t>explotación</w:t>
      </w:r>
      <w:r>
        <w:t xml:space="preserve"> (E), la cantidad de usuarios </w:t>
      </w:r>
      <w:r>
        <w:rPr>
          <w:b/>
        </w:rPr>
        <w:t>afectados</w:t>
      </w:r>
      <w:r>
        <w:t xml:space="preserve"> (A) y la facilidad de </w:t>
      </w:r>
      <w:r>
        <w:rPr>
          <w:b/>
        </w:rPr>
        <w:t>descubrimiento</w:t>
      </w:r>
      <w:r>
        <w:t xml:space="preserve"> (Di). La valoración es inherente: suponemos que ninguno de los controles CTRL-01 a CTRL-23 está presente. Las prioridades DREAD (Alta, Media y Baja), los niveles de riesgo de la matriz P×I (Crítico, Alto, Medio y Bajo) y la criticidad CIA de los activos son escalas distintas y no deben compararse entre sí: por ejemplo, 15 amenazas tienen prioridad DREAD Alta, pero 18 riesgos son Críticos en la matriz. La Tabla 19 resume los criterios que aplicamos en cada factor.</w:t>
      </w:r>
    </w:p>
    <w:p>
      <w:pPr>
        <w:keepNext/>
        <w:spacing w:before="0" w:line="480" w:lineRule="auto" w:after="160"/>
      </w:pPr>
      <w:r>
        <w:rPr>
          <w:b/>
        </w:rPr>
        <w:t>Tabla 19</w:t>
      </w:r>
    </w:p>
    <w:p>
      <w:pPr>
        <w:keepNext/>
        <w:spacing w:line="480" w:lineRule="auto" w:after="160" w:before="0"/>
      </w:pPr>
      <w:r>
        <w:rPr>
          <w:i/>
        </w:rPr>
        <w:t>Criterios de valoración de los factores DREAD</w:t>
      </w:r>
    </w:p>
    <w:tbl>
      <w:tblPr>
        <w:tblW w:w="9360" w:type="dxa"/>
        <w:jc w:val="center"/>
        <w:tblLayout w:type="fixed"/>
        <w:tblLook w:firstColumn="1" w:firstRow="1" w:lastColumn="0" w:lastRow="0" w:noHBand="0" w:noVBand="1" w:val="04A0"/>
      </w:tblPr>
      <w:tblGrid>
        <w:gridCol w:w="1800"/>
        <w:gridCol w:w="2520"/>
        <w:gridCol w:w="2520"/>
        <w:gridCol w:w="2520"/>
      </w:tblGrid>
      <w:tr>
        <w:trPr>
          <w:cantSplit/>
          <w:tblHeader/>
        </w:trPr>
        <w:tc>
          <w:tcPr>
            <w:tcW w:type="dxa" w:w="18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6"/>
              </w:rPr>
              <w:t>Factor</w:t>
            </w:r>
          </w:p>
        </w:tc>
        <w:tc>
          <w:tcPr>
            <w:tcW w:type="dxa" w:w="252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6"/>
              </w:rPr>
              <w:t>1 a 3</w:t>
            </w:r>
          </w:p>
        </w:tc>
        <w:tc>
          <w:tcPr>
            <w:tcW w:type="dxa" w:w="252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6"/>
              </w:rPr>
              <w:t>4 a 6</w:t>
            </w:r>
          </w:p>
        </w:tc>
        <w:tc>
          <w:tcPr>
            <w:tcW w:type="dxa" w:w="252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6"/>
              </w:rPr>
              <w:t>7 a 10</w:t>
            </w:r>
          </w:p>
        </w:tc>
      </w:tr>
      <w:tr>
        <w:trPr>
          <w:cantSplit/>
        </w:trPr>
        <w:tc>
          <w:tcPr>
            <w:tcW w:type="dxa" w:w="18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D – Daño</w:t>
            </w:r>
          </w:p>
        </w:tc>
        <w:tc>
          <w:tcPr>
            <w:tcW w:type="dxa" w:w="252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Orienta al atacante o expone datos de bajo valor</w:t>
            </w:r>
          </w:p>
        </w:tc>
        <w:tc>
          <w:tcPr>
            <w:tcW w:type="dxa" w:w="252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Expone datos de un usuario o degrada un servicio</w:t>
            </w:r>
          </w:p>
        </w:tc>
        <w:tc>
          <w:tcPr>
            <w:tcW w:type="dxa" w:w="252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Mueve dinero, suplanta identidades o compromete la plataforma</w:t>
            </w:r>
          </w:p>
        </w:tc>
      </w:tr>
      <w:tr>
        <w:trPr>
          <w:cantSplit/>
        </w:trPr>
        <w:tc>
          <w:tcPr>
            <w:tcW w:type="dxa" w:w="18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R – Reproducibilidad</w:t>
            </w:r>
          </w:p>
        </w:tc>
        <w:tc>
          <w:tcPr>
            <w:tcW w:type="dxa" w:w="252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Depende de condiciones raras o de un tercero</w:t>
            </w:r>
          </w:p>
        </w:tc>
        <w:tc>
          <w:tcPr>
            <w:tcW w:type="dxa" w:w="252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Se repite con condiciones específicas</w:t>
            </w:r>
          </w:p>
        </w:tc>
        <w:tc>
          <w:tcPr>
            <w:tcW w:type="dxa" w:w="252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Se repite siempre con la misma solicitud</w:t>
            </w:r>
          </w:p>
        </w:tc>
      </w:tr>
      <w:tr>
        <w:trPr>
          <w:cantSplit/>
        </w:trPr>
        <w:tc>
          <w:tcPr>
            <w:tcW w:type="dxa" w:w="18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E – Explotabilidad</w:t>
            </w:r>
          </w:p>
        </w:tc>
        <w:tc>
          <w:tcPr>
            <w:tcW w:type="dxa" w:w="252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Requiere acceso privilegiado a la cuenta AWS</w:t>
            </w:r>
          </w:p>
        </w:tc>
        <w:tc>
          <w:tcPr>
            <w:tcW w:type="dxa" w:w="252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Requiere herramientas o acceso físico al dispositivo</w:t>
            </w:r>
          </w:p>
        </w:tc>
        <w:tc>
          <w:tcPr>
            <w:tcW w:type="dxa" w:w="252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Basta un cliente HTTP o una cuenta propia</w:t>
            </w:r>
          </w:p>
        </w:tc>
      </w:tr>
      <w:tr>
        <w:trPr>
          <w:cantSplit/>
        </w:trPr>
        <w:tc>
          <w:tcPr>
            <w:tcW w:type="dxa" w:w="18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A – Usuarios afectados</w:t>
            </w:r>
          </w:p>
        </w:tc>
        <w:tc>
          <w:tcPr>
            <w:tcW w:type="dxa" w:w="252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Un usuario o un caso aislado</w:t>
            </w:r>
          </w:p>
        </w:tc>
        <w:tc>
          <w:tcPr>
            <w:tcW w:type="dxa" w:w="252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Un grupo de usuarios o un rol</w:t>
            </w:r>
          </w:p>
        </w:tc>
        <w:tc>
          <w:tcPr>
            <w:tcW w:type="dxa" w:w="252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6"/>
              </w:rPr>
              <w:t>Todos los clientes o toda la plataforma</w:t>
            </w:r>
          </w:p>
        </w:tc>
      </w:tr>
      <w:tr>
        <w:trPr>
          <w:cantSplit/>
        </w:trPr>
        <w:tc>
          <w:tcPr>
            <w:tcW w:type="dxa" w:w="18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6"/>
              </w:rPr>
              <w:t>Di – Descubrimiento</w:t>
            </w:r>
          </w:p>
        </w:tc>
        <w:tc>
          <w:tcPr>
            <w:tcW w:type="dxa" w:w="252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6"/>
              </w:rPr>
              <w:t>Requiere conocimiento interno</w:t>
            </w:r>
          </w:p>
        </w:tc>
        <w:tc>
          <w:tcPr>
            <w:tcW w:type="dxa" w:w="252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6"/>
              </w:rPr>
              <w:t>Requiere análisis o pruebas dirigidas</w:t>
            </w:r>
          </w:p>
        </w:tc>
        <w:tc>
          <w:tcPr>
            <w:tcW w:type="dxa" w:w="252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6"/>
              </w:rPr>
              <w:t>Visible con herramientas públicas o a simple vista</w:t>
            </w:r>
          </w:p>
        </w:tc>
      </w:tr>
    </w:tbl>
    <w:p>
      <w:pPr>
        <w:spacing w:line="480" w:lineRule="auto" w:before="0" w:after="160"/>
        <w:jc w:val="both"/>
      </w:pPr>
      <w:r>
        <w:rPr>
          <w:i/>
          <w:sz w:val="24"/>
        </w:rPr>
        <w:t xml:space="preserve">Nota. </w:t>
      </w:r>
      <w:r>
        <w:rPr>
          <w:sz w:val="24"/>
        </w:rPr>
        <w:t>Elaboración propia con base en los factores definidos por Howard y LeBlanc (2003).</w:t>
      </w:r>
    </w:p>
    <w:p>
      <w:pPr>
        <w:spacing w:before="0" w:after="160" w:line="480" w:lineRule="auto"/>
        <w:ind w:firstLine="720"/>
        <w:jc w:val="both"/>
      </w:pPr>
      <w:r>
        <w:t xml:space="preserve">El </w:t>
      </w:r>
      <w:r>
        <w:rPr>
          <w:b/>
        </w:rPr>
        <w:t>puntaje DREAD</w:t>
      </w:r>
      <w:r>
        <w:t xml:space="preserve"> es el promedio de los cinco factores: Puntaje = (D + R + E + A + Di) / 5. Un puntaje igual o mayor que 7 es de prioridad Alta; de 4 a 6.9, Media; y menor que 4, Baja. Por ejemplo, para AME-17 (lectura de movimientos de una cuenta ajena) asignamos D = 8, R = 10, E = 9, A = 10 y Di = 9, porque basta cambiar el identificador de la cuenta en la ruta para leer los movimientos de cualquier cliente; el puntaje es (8 + 10 + 9 + 10 + 9) / 5 = 9.2, prioridad Alta. La Tabla 20 presenta la valoración de las 41 amenazas con la justificación de los factores que más pesan en cada una.</w:t>
      </w:r>
    </w:p>
    <w:p>
      <w:pPr>
        <w:keepNext/>
        <w:spacing w:before="0" w:line="480" w:lineRule="auto" w:after="160"/>
      </w:pPr>
      <w:r>
        <w:rPr>
          <w:b/>
        </w:rPr>
        <w:t>Tabla 20</w:t>
      </w:r>
    </w:p>
    <w:p>
      <w:pPr>
        <w:keepNext/>
        <w:spacing w:line="480" w:lineRule="auto" w:after="160" w:before="0"/>
      </w:pPr>
      <w:r>
        <w:rPr>
          <w:i/>
        </w:rPr>
        <w:t>Valoración DREAD inherente por amenaza</w:t>
      </w:r>
    </w:p>
    <w:tbl>
      <w:tblPr>
        <w:tblW w:w="9360" w:type="dxa"/>
        <w:jc w:val="center"/>
        <w:tblLayout w:type="fixed"/>
        <w:tblLook w:firstColumn="1" w:firstRow="1" w:lastColumn="0" w:lastRow="0" w:noHBand="0" w:noVBand="1" w:val="04A0"/>
      </w:tblPr>
      <w:tblGrid>
        <w:gridCol w:w="680"/>
        <w:gridCol w:w="1840"/>
        <w:gridCol w:w="330"/>
        <w:gridCol w:w="330"/>
        <w:gridCol w:w="330"/>
        <w:gridCol w:w="330"/>
        <w:gridCol w:w="360"/>
        <w:gridCol w:w="700"/>
        <w:gridCol w:w="800"/>
        <w:gridCol w:w="3660"/>
      </w:tblGrid>
      <w:tr>
        <w:trPr>
          <w:cantSplit/>
          <w:tblHeader/>
        </w:trPr>
        <w:tc>
          <w:tcPr>
            <w:tcW w:type="dxa" w:w="68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4"/>
              </w:rPr>
              <w:t>AME</w:t>
            </w:r>
          </w:p>
        </w:tc>
        <w:tc>
          <w:tcPr>
            <w:tcW w:type="dxa" w:w="184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4"/>
              </w:rPr>
              <w:t>Amenaza</w:t>
            </w:r>
          </w:p>
        </w:tc>
        <w:tc>
          <w:tcPr>
            <w:tcW w:type="dxa" w:w="33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4"/>
              </w:rPr>
              <w:t>D</w:t>
            </w:r>
          </w:p>
        </w:tc>
        <w:tc>
          <w:tcPr>
            <w:tcW w:type="dxa" w:w="33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4"/>
              </w:rPr>
              <w:t>R</w:t>
            </w:r>
          </w:p>
        </w:tc>
        <w:tc>
          <w:tcPr>
            <w:tcW w:type="dxa" w:w="33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4"/>
              </w:rPr>
              <w:t>E</w:t>
            </w:r>
          </w:p>
        </w:tc>
        <w:tc>
          <w:tcPr>
            <w:tcW w:type="dxa" w:w="33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4"/>
              </w:rPr>
              <w:t>A</w:t>
            </w:r>
          </w:p>
        </w:tc>
        <w:tc>
          <w:tcPr>
            <w:tcW w:type="dxa" w:w="36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4"/>
              </w:rPr>
              <w:t>Di</w:t>
            </w:r>
          </w:p>
        </w:tc>
        <w:tc>
          <w:tcPr>
            <w:tcW w:type="dxa" w:w="7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4"/>
              </w:rPr>
              <w:t>Puntaje</w:t>
            </w:r>
          </w:p>
        </w:tc>
        <w:tc>
          <w:tcPr>
            <w:tcW w:type="dxa" w:w="8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4"/>
              </w:rPr>
              <w:t>Prioridad</w:t>
            </w:r>
          </w:p>
        </w:tc>
        <w:tc>
          <w:tcPr>
            <w:tcW w:type="dxa" w:w="366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4"/>
              </w:rPr>
              <w:t>Justificación</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AME-01</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Indisponibilidad de la región us-east-1</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2</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1</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1</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4.4</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Daño alto (D8) que alcanza a todos los usuarios (A10), pero depende de una falla de AWS que el atacante no provoca (R2, E1, Di1).</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AME-02</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Uso de la app desde un dispositivo perdido o robado</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7</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2</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5.2</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Exige tener el teléfono desbloqueado (R6, E5); puede vaciar la cuenta (D7) pero solo de una víctima (A2).</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AME-03</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Ingeniería social contra personal de soporte</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4</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5.2</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Depende de persuadir a una persona, no de una falla técnica (R5, E6); afecta cuentas puntuales (A4).</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AME-04</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Toma de cuenta con credenciales obtenidas por phishing</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7.8</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El phishing es barato y conocido (R8, Di8); con la cuenta tomada se mueve dinero (D9) y la técnica escala a muchos clientes (A8).</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AME-05</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Modificación de una transferencia en tránsito</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6.2</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Altera monto o destino (D9), pero exige proxy y certificado instalado en el dispositivo (R5, E5).</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AME-06</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Intercepción de tokens y datos personales</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7</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6.2</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Expone el JWT y datos personales (D8) desde la misma posición intermedia (E5); las herramientas públicas facilitan descubrirlo (Di7).</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AME-07</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Ingeniería inversa y hooking de la app</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4</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7</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5.6</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Frida y objection son públicas (R6, Di7), pero requieren root o reempaquetado (E5); el impacto queda en el cliente atacado (A4).</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AME-08</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Secretos embebidos en el APK</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7</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8.4</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Extraer el APK con apktool es trivial y repetible (R9, E7); una llave expuesta afecta al backend de todos (D8, A10).</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AME-09</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Exposición de saldo en capturas y vista de apps recientes</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4</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2</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5.8</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Capturar la pantalla es muy fácil (E9, R8), pero solo expone lo visible de un usuario (D4, A2).</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AME-10</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Extracción de tokens del almacenamiento del dispositivo</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3</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5.4</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Requiere root o malware en el equipo (R5, E5); los tokens dan acceso a la cuenta (D8) de una víctima a la vez (A3).</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AME-11</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Saturación de la API y consumo de costo</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8.4</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Generar volumen es fácil y repetible (R9, E8, Di9) y afecta a todos los usuarios y al costo (A10); no compromete datos (D6).</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AME-12</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Envío de cargas maliciosas y entradas malformadas</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7</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7</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6.2</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Las cargas de inyección son conocidas y automatizables (R6, Di7); un fallo alcanzaría todos los registros del servicio (A7).</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AME-13</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Ruta publicada sin Cognito Authorizer</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7.6</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Un error de Terraform sin revisión es probable (R8) y deja el servicio sin autenticación (D9, A10); descubrirlo exige probar rutas (Di5).</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AME-14</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Mensajes de error con detalle interno</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3</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6.8</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Provocar un error es trivial (R9, E8, Di9), pero solo orienta al atacante; no causa daño directo (D3).</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AME-15</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Credential stuffing contra el managed login</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7</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7</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8.0</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Las listas filtradas y la automatización abundan (R9, E8, Di9); alcanza a todos los que reutilizan contraseñas (A7).</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AME-16</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Token JWT alterado o falsificado</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4</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6.6</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Suplantar a cualquier usuario sería grave (D9, A9), pero romper la validación del JWT es difícil (E4, R5).</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AME-17</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Lectura de movimientos de una cuenta ajena (BOLA)</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10</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9.2</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Cambiar el accountId es trivial y repetible (R10, E9) y permite recorrer todas las cuentas (A10) con datos financieros (D8).</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AME-18</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Consulta sin límite en movimientos</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4</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7</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6.0</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Un limit alto es fácil de probar (R8, E7); degrada el servicio pero no expone datos (D4).</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AME-19</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Rol IAM de Lambda con permisos excesivos</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4</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3</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4</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6.0</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Solo se explota tras comprometer una Lambda (R4, E3), pero un rol amplio expone todas las tablas (D9, A10).</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AME-20</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Enumeración de usuarios por número de teléfono</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10</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8.2</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Recorrer números es trivial (R10, E9) y revela quién usa la billetera (A8); expone pocos datos por usuario (D6).</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AME-21</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Asignación masiva de atributos en PATCH /me</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10</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7</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7</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8.6</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Agregar campos al cuerpo es fácil (R9, E7); elevarse a administrador compromete toda la plataforma (D10, A10).</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AME-22</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Modificación de presupuestos de otro usuario</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3</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10</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4</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7.0</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Repetir con otro identificador es trivial (R10, E9), pero son presupuestos, no dinero (D3, A4).</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AME-23</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Acceso de un cliente a /admin/* (BFLA)</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10</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10</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9.2</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Invocar /admin/* con un token de cliente es directo (R10, E8) y permite listar o bloquear a todos (D10, A10).</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AME-24</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Acciones administrativas sin trazabilidad</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7</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4</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5.6</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Negar una acción es sencillo (E7) y entorpece la gestión de incidentes (D6); se limita a los administradores (A5, Di4).</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AME-25</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Tokens o datos personales escritos en logs</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7</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4</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6.4</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Un log de depuración se repite en cada solicitud (R8) y alcanza a muchos usuarios (A8); leerlo exige acceso a CloudWatch (E4).</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AME-26</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Acceso a datos en reposo o a exportaciones de DynamoDB</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3</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3</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3</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5.4</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Afectaría a todos los clientes (D8, A10), pero exige acceso a la cuenta o una exportación mal configurada (R3, E3, Di3).</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AME-27</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Lectura de secretos por un rol no autorizado</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4</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3</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4</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5.6</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Requiere un rol amplio ya comprometido (R4, E3); los secretos abren otros servicios (D8, A9).</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AME-28</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Deshabilitación o eliminación programada de la CMK</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10</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3</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3</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3</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5.8</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Exige credenciales de administración de la cuenta (R3, E3), pero deja inaccesibles todos los datos (D10, A10).</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AME-29</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Borrado o alteración de CloudTrail para ocultar actividad</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4</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4</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4</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4.6</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Requiere acceso privilegiado a la cuenta (R4, E4); el daño es la pérdida de trazabilidad (D6).</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AME-30</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Bucket S3 público con registros o estado de Terraform</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7</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8.0</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Un bucket público es un error común y fácil de hallar con escáneres (R8, E8, Di7); expone registros de toda la cuenta (A9).</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AME-31</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SIEM local apagado o comprometido</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5.4</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Un equipo apagado es frecuente (R6) y deja sin alertas a la organización (A6); no expone datos por sí mismo (D5).</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AME-32</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Compromiso del pipeline de despliegue</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10</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4</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6.8</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Requiere alterar una Action o saltar la revisión (R5, E4), pero el código corre con permisos de producción (D10, A10).</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AME-33</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Dependencia npm vulnerable o maliciosa</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7</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7.2</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Las vulnerabilidades se publican y explotan rápido (R7, E6); un paquete afecta a la app o a todos los servicios (A9).</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AME-34</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Secretos en el historial de un repositorio público</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10</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10</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9.6</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En un repositorio público el secreto queda expuesto de inmediato (R10, E9, Di10) y compromete la cuenta (D9, A10).</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AME-35</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Imagen de contenedor alterada o con base vulnerable</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4</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6.2</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Requiere alterar ECR o usar una base sin fijar (R5, E4); la imagen corre con el rol de la Lambda (D8, A9).</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AME-36</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Monto negativo, decimal o fuera de rango</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7</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7</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8.0</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Enviar un monto negativo es trivial (R9, E7) y podría invertir la dirección del dinero (D9) en cualquier cuenta (A8).</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AME-37</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Transferencia desde una cuenta origen ajena</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10</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8.8</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4"/>
              </w:rPr>
              <w:t>Alta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Cambiar la cuenta origen es trivial (R9, E8) y permite vaciar cuentas ajenas (D9, A10).</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AME-38</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Fuerza bruta del PIN de transacción</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7</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3</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7</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6.8</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Con un token válido se automatizan los intentos (R9, E7); el daño es alto (D8) pero en una cuenta a la vez (A3).</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AME-39</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Doble gasto por solicitudes concurrentes</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9</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8</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6.8</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Las solicitudes simultáneas requieren un script (R6, E5) y generan dinero inexistente (D9) en cualquier cuenta (A8).</w:t>
            </w:r>
          </w:p>
        </w:tc>
      </w:tr>
      <w:tr>
        <w:trPr>
          <w:cantSplit/>
        </w:trPr>
        <w:tc>
          <w:tcPr>
            <w:tcW w:type="dxa" w:w="6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AME-40</w:t>
            </w:r>
          </w:p>
        </w:tc>
        <w:tc>
          <w:tcPr>
            <w:tcW w:type="dxa" w:w="184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Cliente niega haber realizado una transferencia</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7</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6</w:t>
            </w:r>
          </w:p>
        </w:tc>
        <w:tc>
          <w:tcPr>
            <w:tcW w:type="dxa" w:w="33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3</w:t>
            </w:r>
          </w:p>
        </w:tc>
        <w:tc>
          <w:tcPr>
            <w:tcW w:type="dxa" w:w="3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4"/>
              </w:rPr>
              <w:t>5.2</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4"/>
              </w:rPr>
              <w:t>Negar una operación es sencillo (R7, E6) y genera disputas (D5) en casos individuales (A3).</w:t>
            </w:r>
          </w:p>
        </w:tc>
      </w:tr>
      <w:tr>
        <w:trPr>
          <w:cantSplit/>
        </w:trPr>
        <w:tc>
          <w:tcPr>
            <w:tcW w:type="dxa" w:w="68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4"/>
              </w:rPr>
              <w:t>AME-41</w:t>
            </w:r>
          </w:p>
        </w:tc>
        <w:tc>
          <w:tcPr>
            <w:tcW w:type="dxa" w:w="184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4"/>
              </w:rPr>
              <w:t>Lectura de los registros de AWS con las credenciales del SIEM local</w:t>
            </w:r>
          </w:p>
        </w:tc>
        <w:tc>
          <w:tcPr>
            <w:tcW w:type="dxa" w:w="33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33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4"/>
              </w:rPr>
              <w:t>4</w:t>
            </w:r>
          </w:p>
        </w:tc>
        <w:tc>
          <w:tcPr>
            <w:tcW w:type="dxa" w:w="33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4"/>
              </w:rPr>
              <w:t>4</w:t>
            </w:r>
          </w:p>
        </w:tc>
        <w:tc>
          <w:tcPr>
            <w:tcW w:type="dxa" w:w="33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4"/>
              </w:rPr>
              <w:t>4</w:t>
            </w:r>
          </w:p>
        </w:tc>
        <w:tc>
          <w:tcPr>
            <w:tcW w:type="dxa" w:w="36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4"/>
              </w:rPr>
              <w:t>5</w:t>
            </w:r>
          </w:p>
        </w:tc>
        <w:tc>
          <w:tcPr>
            <w:tcW w:type="dxa" w:w="7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4"/>
              </w:rPr>
              <w:t>4.4</w:t>
            </w:r>
          </w:p>
        </w:tc>
        <w:tc>
          <w:tcPr>
            <w:tcW w:type="dxa" w:w="800"/>
            <w:tcBorders>
              <w:top w:val="nil"/>
              <w:left w:val="nil"/>
              <w:bottom w:val="single" w:sz="8" w:color="000000"/>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4"/>
              </w:rPr>
              <w:t>Media</w:t>
            </w:r>
          </w:p>
        </w:tc>
        <w:tc>
          <w:tcPr>
            <w:tcW w:type="dxa" w:w="366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4"/>
              </w:rPr>
              <w:t>Requiere comprometer antes la estación local (R4, E4); las llaves permiten leer registros de toda la cuenta (D5).</w:t>
            </w:r>
          </w:p>
        </w:tc>
      </w:tr>
    </w:tbl>
    <w:p>
      <w:pPr>
        <w:spacing w:line="480" w:lineRule="auto" w:before="0" w:after="160"/>
        <w:jc w:val="both"/>
      </w:pPr>
      <w:r>
        <w:rPr>
          <w:i/>
          <w:sz w:val="24"/>
        </w:rPr>
        <w:t xml:space="preserve">Nota. </w:t>
      </w:r>
      <w:r>
        <w:rPr>
          <w:sz w:val="24"/>
        </w:rPr>
        <w:t>Elaboración propia a partir del modelo de amenazas T2. Puntaje = (D + R + E + A + Di) / 5; ≥ 7 Alta, 4–6.9 Media, &lt; 4 Baja. Resultado: 15 amenazas de prioridad Alta, 26 Media y 0 Baja.</w:t>
      </w:r>
    </w:p>
    <w:p>
      <w:pPr>
        <w:spacing w:before="0" w:after="160" w:line="480" w:lineRule="auto"/>
        <w:ind w:firstLine="720"/>
        <w:jc w:val="both"/>
      </w:pPr>
      <w:r>
        <w:t>Del total, 15 amenazas tienen prioridad Alta, 26 Media y 0 Baja. Las de mayor puntaje son AME-34 (secretos en el historial de un repositorio público, 9.6), AME-17 (lectura de movimientos de una cuenta ajena (BOLA), 9.2), AME-23 (acceso de un cliente a /admin/* (BFLA), 9.2), AME-37 (transferencia desde una cuenta origen ajena, 8.8), AME-21 (asignación masiva de atributos en PATCH /me, 8.6). Todas comparten la combinación más peligrosa: se explotan con una solicitud sencilla, se repiten sin restricción y afectan a toda la base de clientes. Las de menor puntaje (AME-01 y AME-41, ambas con 4.4) dependen de condiciones que el atacante no controla, como una falla regional de AWS o el compromiso previo de una estación local.</w:t>
      </w:r>
    </w:p>
    <w:p>
      <w:pPr>
        <w:pStyle w:val="Heading2"/>
        <w:keepNext/>
        <w:keepLines/>
        <w:spacing w:before="0" w:after="160" w:line="480" w:lineRule="auto"/>
        <w:jc w:val="left"/>
        <w:outlineLvl w:val="1"/>
      </w:pPr>
      <w:r>
        <w:t>2.5 Matriz de riesgos inicial</w:t>
      </w:r>
    </w:p>
    <w:p>
      <w:pPr>
        <w:pStyle w:val="Heading3"/>
        <w:keepNext/>
        <w:keepLines/>
        <w:spacing w:before="0" w:after="160" w:line="480" w:lineRule="auto"/>
        <w:jc w:val="left"/>
        <w:outlineLvl w:val="2"/>
      </w:pPr>
      <w:r>
        <w:t>2.5.1 Conversión de DREAD a probabilidad e impacto</w:t>
      </w:r>
    </w:p>
    <w:p>
      <w:pPr>
        <w:spacing w:before="0" w:after="160" w:line="480" w:lineRule="auto"/>
        <w:ind w:firstLine="720"/>
        <w:jc w:val="both"/>
      </w:pPr>
      <w:r>
        <w:t xml:space="preserve">Para ubicar cada amenaza en una matriz de 5×5 convertimos los factores DREAD en probabilidad e impacto. La </w:t>
      </w:r>
      <w:r>
        <w:rPr>
          <w:b/>
        </w:rPr>
        <w:t>probabilidad</w:t>
      </w:r>
      <w:r>
        <w:t xml:space="preserve"> agrupa los factores que describen qué tan fácil es que el ataque ocurra (reproducibilidad, explotación y descubrimiento) y el </w:t>
      </w:r>
      <w:r>
        <w:rPr>
          <w:b/>
        </w:rPr>
        <w:t>impacto</w:t>
      </w:r>
      <w:r>
        <w:t xml:space="preserve"> agrupa los que describen sus consecuencias (daño y usuarios afectados). Es un enfoque semicuantitativo como el que describe la guía NIST SP 800-30 (Joint Task Force Transformation Initiative, 2012), que valora el riesgo como combinación de la probabilidad de que una amenaza ocurra y el impacto que produce:</w:t>
      </w:r>
    </w:p>
    <w:p>
      <w:pPr>
        <w:pStyle w:val="ListBullet"/>
        <w:spacing w:line="480" w:lineRule="auto" w:before="0" w:after="160"/>
        <w:jc w:val="both"/>
      </w:pPr>
      <w:r>
        <w:t>Probabilidad (1 a 5) = redondeo hacia arriba de ((R + E + Di) / 3) / 2.</w:t>
      </w:r>
    </w:p>
    <w:p>
      <w:pPr>
        <w:pStyle w:val="ListBullet"/>
        <w:spacing w:line="480" w:lineRule="auto" w:before="0" w:after="160"/>
        <w:jc w:val="both"/>
      </w:pPr>
      <w:r>
        <w:t>Impacto (1 a 5) = redondeo hacia arriba de ((D + A) / 2) / 2.</w:t>
      </w:r>
    </w:p>
    <w:p>
      <w:pPr>
        <w:pStyle w:val="ListBullet"/>
        <w:spacing w:line="480" w:lineRule="auto" w:before="0" w:after="160"/>
        <w:jc w:val="both"/>
      </w:pPr>
      <w:r>
        <w:t>Riesgo = P × I: de 1 a 4, Bajo; de 5 a 9, Medio; de 10 a 14, Alto; de 15 a 25, Crítico.</w:t>
      </w:r>
    </w:p>
    <w:p>
      <w:pPr>
        <w:spacing w:before="0" w:after="160" w:line="480" w:lineRule="auto"/>
        <w:ind w:firstLine="720"/>
        <w:jc w:val="both"/>
      </w:pPr>
      <w:r>
        <w:t>Con AME-17 como ejemplo: la probabilidad es ((10 + 9 + 9) / 3) / 2 = 4.67, que se redondea a 5; el impacto es ((8 + 10) / 2) / 2 = 4.5, que se redondea a 5; el riesgo es 5 × 5 = 25, Crítico. En el otro extremo, AME-01 (indisponibilidad de la región) tiene una probabilidad de ((2 + 1 + 1) / 3) / 2 = 0.67, redondeada a 1, y un impacto de ((8 + 10) / 2) / 2 = 4.5, redondeado a 5; su riesgo es 1 × 5 = 5, Medio. Este método separa amenazas que DREAD califica parecido: AME-14 (mensajes de error con detalle interno) tiene un puntaje DREAD Medio de 6.8, pero su probabilidad máxima la lleva a un riesgo Alto (5 × 2 = 10). El impacto mide lo que cada amenaza le hace al activo, no el valor total del activo; por eso ocho amenazas sobre activos de criticidad Crítica (AME-02, AME-09, AME-10, AME-14, AME-18, AME-22, AME-38 y AME-40) tienen un impacto de 3 o menos: por ejemplo, los mensajes de error con detalle interno de AME-14 revelan pistas sobre el funcionamiento del sistema, pero no exponen los datos completos de los clientes, y por eso su impacto es 2.</w:t>
      </w:r>
    </w:p>
    <w:p>
      <w:pPr>
        <w:pStyle w:val="Heading3"/>
        <w:keepNext/>
        <w:keepLines/>
        <w:spacing w:before="0" w:after="160" w:line="480" w:lineRule="auto"/>
        <w:jc w:val="left"/>
        <w:outlineLvl w:val="2"/>
      </w:pPr>
      <w:r>
        <w:t>2.5.2 Matriz de riesgos</w:t>
      </w:r>
    </w:p>
    <w:p>
      <w:pPr>
        <w:spacing w:before="0" w:after="160" w:line="480" w:lineRule="auto"/>
        <w:ind w:firstLine="720"/>
        <w:jc w:val="both"/>
      </w:pPr>
      <w:r>
        <w:t xml:space="preserve">A cada amenaza le corresponde un riesgo con el mismo número (RSK-01 para AME-01, y así sucesivamente). Para cada riesgo registramos la capa de defensa en profundidad (1 a 7), el tipo de riesgo (software, seguridad, técnico, cloud o cumplimiento), el impacto principal para el negocio (reputacional, operacional, financiero o legal) y el tratamiento propuesto según las opciones del enunciado (aceptar, eliminar, evitar, mitigar o transferir). Clasificamos como impacto </w:t>
      </w:r>
      <w:r>
        <w:rPr>
          <w:b/>
        </w:rPr>
        <w:t>financiero</w:t>
      </w:r>
      <w:r>
        <w:t xml:space="preserve"> las amenazas que mueven o crean dinero, </w:t>
      </w:r>
      <w:r>
        <w:rPr>
          <w:b/>
        </w:rPr>
        <w:t>operacional</w:t>
      </w:r>
      <w:r>
        <w:t xml:space="preserve"> las que detienen o comprometen la plataforma, </w:t>
      </w:r>
      <w:r>
        <w:rPr>
          <w:b/>
        </w:rPr>
        <w:t>reputacional</w:t>
      </w:r>
      <w:r>
        <w:t xml:space="preserve"> las que exponen datos de clientes y </w:t>
      </w:r>
      <w:r>
        <w:rPr>
          <w:b/>
        </w:rPr>
        <w:t>legal</w:t>
      </w:r>
      <w:r>
        <w:t xml:space="preserve"> las que debilitan la evidencia necesaria ante una disputa o una investigación. Como dueño de cada riesgo asignamos al propietario, según la Tabla 12, del activo principal de la amenaza, que es el primer activo citado en el modelo de amenazas; así cada riesgo tiene un responsable de aprobar su tratamiento, como pide ISO/IEC 27005:2022 (ISO e IEC, 2022b). Cuando el activo principal pertenece al cliente, como en RSK-02, el dueño es el Gerente de Producto, porque el cliente no forma parte de la organización que aprueba el tratamiento. La Tabla 21 presenta la matriz.</w:t>
      </w:r>
    </w:p>
    <w:p>
      <w:pPr>
        <w:spacing w:before="0" w:after="160" w:line="480" w:lineRule="auto"/>
        <w:sectPr>
          <w:headerReference w:type="default" r:id="rId7"/>
          <w:pgSz w:w="12240" w:h="15840"/>
          <w:pgMar w:top="1440" w:right="1440" w:bottom="1440" w:left="1440" w:header="720" w:footer="720" w:gutter="0"/>
          <w:cols w:space="720"/>
          <w:docGrid w:linePitch="360"/>
        </w:sectPr>
      </w:pPr>
    </w:p>
    <w:p>
      <w:pPr>
        <w:keepNext/>
        <w:spacing w:before="0" w:line="480" w:lineRule="auto" w:after="160"/>
      </w:pPr>
      <w:r>
        <w:rPr>
          <w:b/>
        </w:rPr>
        <w:t>Tabla 21</w:t>
      </w:r>
    </w:p>
    <w:p>
      <w:pPr>
        <w:keepNext/>
        <w:spacing w:line="480" w:lineRule="auto" w:after="160" w:before="0"/>
      </w:pPr>
      <w:r>
        <w:rPr>
          <w:i/>
        </w:rPr>
        <w:t>Matriz de riesgos inherentes de Q-Wallet</w:t>
      </w:r>
    </w:p>
    <w:tbl>
      <w:tblPr>
        <w:tblW w:w="12300" w:type="dxa"/>
        <w:jc w:val="center"/>
        <w:tblLayout w:type="fixed"/>
        <w:tblLook w:firstColumn="1" w:firstRow="1" w:lastColumn="0" w:lastRow="0" w:noHBand="0" w:noVBand="1" w:val="04A0"/>
      </w:tblPr>
      <w:tblGrid>
        <w:gridCol w:w="760"/>
        <w:gridCol w:w="760"/>
        <w:gridCol w:w="380"/>
        <w:gridCol w:w="380"/>
        <w:gridCol w:w="520"/>
        <w:gridCol w:w="800"/>
        <w:gridCol w:w="2300"/>
        <w:gridCol w:w="1300"/>
        <w:gridCol w:w="1400"/>
        <w:gridCol w:w="1300"/>
        <w:gridCol w:w="2400"/>
      </w:tblGrid>
      <w:tr>
        <w:trPr>
          <w:cantSplit/>
          <w:tblHeader/>
        </w:trPr>
        <w:tc>
          <w:tcPr>
            <w:tcW w:type="dxa" w:w="76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5"/>
              </w:rPr>
              <w:t>RSK</w:t>
            </w:r>
          </w:p>
        </w:tc>
        <w:tc>
          <w:tcPr>
            <w:tcW w:type="dxa" w:w="76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5"/>
              </w:rPr>
              <w:t>AME</w:t>
            </w:r>
          </w:p>
        </w:tc>
        <w:tc>
          <w:tcPr>
            <w:tcW w:type="dxa" w:w="38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5"/>
              </w:rPr>
              <w:t>P</w:t>
            </w:r>
          </w:p>
        </w:tc>
        <w:tc>
          <w:tcPr>
            <w:tcW w:type="dxa" w:w="38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5"/>
              </w:rPr>
              <w:t>I</w:t>
            </w:r>
          </w:p>
        </w:tc>
        <w:tc>
          <w:tcPr>
            <w:tcW w:type="dxa" w:w="52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5"/>
              </w:rPr>
              <w:t>P×I</w:t>
            </w:r>
          </w:p>
        </w:tc>
        <w:tc>
          <w:tcPr>
            <w:tcW w:type="dxa" w:w="8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5"/>
              </w:rPr>
              <w:t>Nivel</w:t>
            </w:r>
          </w:p>
        </w:tc>
        <w:tc>
          <w:tcPr>
            <w:tcW w:type="dxa" w:w="23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5"/>
              </w:rPr>
              <w:t>Capa</w:t>
            </w:r>
          </w:p>
        </w:tc>
        <w:tc>
          <w:tcPr>
            <w:tcW w:type="dxa" w:w="13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5"/>
              </w:rPr>
              <w:t>Tipo de riesgo</w:t>
            </w:r>
          </w:p>
        </w:tc>
        <w:tc>
          <w:tcPr>
            <w:tcW w:type="dxa" w:w="14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5"/>
              </w:rPr>
              <w:t>Impacto de negocio</w:t>
            </w:r>
          </w:p>
        </w:tc>
        <w:tc>
          <w:tcPr>
            <w:tcW w:type="dxa" w:w="13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5"/>
              </w:rPr>
              <w:t>Tratamiento</w:t>
            </w:r>
          </w:p>
        </w:tc>
        <w:tc>
          <w:tcPr>
            <w:tcW w:type="dxa" w:w="24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5"/>
              </w:rPr>
              <w:t>Dueño del riesgo</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RSK-01</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AME-01</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1</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5"/>
              </w:rPr>
              <w:t>Medio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6 Seguridad física</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Cloud</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Operacional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Aceptar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RSK-02</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AME-02</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9</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5"/>
              </w:rPr>
              <w:t>Medio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6 Seguridad física</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Seguridad</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Financiero</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Gerente de Producto</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RSK-03</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AME-03</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9</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5"/>
              </w:rPr>
              <w:t>Medio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7 Políticas y concientización</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Seguridad</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Reputacional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Gerente de Producto</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RSK-04</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AME-04</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4</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20</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5"/>
              </w:rPr>
              <w:t>Crítico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2b Aplicación</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Seguridad</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Financiero</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RSK-05</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AME-05</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4</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12</w:t>
            </w:r>
          </w:p>
        </w:tc>
        <w:tc>
          <w:tcPr>
            <w:tcW w:type="dxa" w:w="80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5"/>
              </w:rPr>
              <w:t>Alto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1 Datos</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Seguridad</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Financiero</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Gerente de Producto</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RSK-06</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AME-06</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4</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12</w:t>
            </w:r>
          </w:p>
        </w:tc>
        <w:tc>
          <w:tcPr>
            <w:tcW w:type="dxa" w:w="80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5"/>
              </w:rPr>
              <w:t>Alto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1 Datos</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Seguridad</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Reputacional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RSK-07</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AME-07</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9</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5"/>
              </w:rPr>
              <w:t>Medio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2a Código</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Software</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Reputacional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Gerente de Producto</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RSK-08</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AME-08</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4</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20</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5"/>
              </w:rPr>
              <w:t>Crítico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2a Código</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Software</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Operacional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RSK-09</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AME-09</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4</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8</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5"/>
              </w:rPr>
              <w:t>Medio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1 Datos</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Seguridad</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Reputacional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Gerente de Producto</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RSK-10</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AME-10</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9</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5"/>
              </w:rPr>
              <w:t>Medio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1 Datos</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Seguridad</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Financiero</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RSK-11</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AME-11</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4</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20</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5"/>
              </w:rPr>
              <w:t>Crítico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5 Perímetro cloud / red</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Cloud</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Operacional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RSK-12</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AME-12</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4</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12</w:t>
            </w:r>
          </w:p>
        </w:tc>
        <w:tc>
          <w:tcPr>
            <w:tcW w:type="dxa" w:w="80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5"/>
              </w:rPr>
              <w:t>Alto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2a Código</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Software</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Operacional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RSK-13</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AME-13</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4</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20</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5"/>
              </w:rPr>
              <w:t>Crítico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2d Perímetro de aplicación</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Cloud</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Operacional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RSK-14</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AME-14</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10</w:t>
            </w:r>
          </w:p>
        </w:tc>
        <w:tc>
          <w:tcPr>
            <w:tcW w:type="dxa" w:w="80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5"/>
              </w:rPr>
              <w:t>Alto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2d Perímetro de aplicación</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Software</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Reputacional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RSK-15</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AME-15</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4</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20</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5"/>
              </w:rPr>
              <w:t>Crítico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2b Aplicación</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Seguridad</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Financiero</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RSK-16</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AME-16</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15</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5"/>
              </w:rPr>
              <w:t>Crítico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2b Aplicación</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Seguridad</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Financiero</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RSK-17</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AME-17</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25</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5"/>
              </w:rPr>
              <w:t>Crítico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2b Aplicación</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Software</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Reputacional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Gerente de Producto</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RSK-18</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AME-18</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4</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12</w:t>
            </w:r>
          </w:p>
        </w:tc>
        <w:tc>
          <w:tcPr>
            <w:tcW w:type="dxa" w:w="80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5"/>
              </w:rPr>
              <w:t>Alto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2d Perímetro de aplicación</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Software</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Operacional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RSK-19</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AME-19</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10</w:t>
            </w:r>
          </w:p>
        </w:tc>
        <w:tc>
          <w:tcPr>
            <w:tcW w:type="dxa" w:w="80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5"/>
              </w:rPr>
              <w:t>Alto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4 Red interna</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Cloud</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Operacional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RSK-20</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AME-20</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4</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20</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5"/>
              </w:rPr>
              <w:t>Crítico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2b Aplicación</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Software</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Reputacional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Gerente de Producto</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RSK-21</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AME-21</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4</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20</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5"/>
              </w:rPr>
              <w:t>Crítico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2a Código</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Software</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Operacional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Gerente de Producto</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RSK-22</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AME-22</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10</w:t>
            </w:r>
          </w:p>
        </w:tc>
        <w:tc>
          <w:tcPr>
            <w:tcW w:type="dxa" w:w="80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5"/>
              </w:rPr>
              <w:t>Alto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2b Aplicación</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Software</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Reputacional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Gerente de Producto</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RSK-23</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AME-23</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25</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5"/>
              </w:rPr>
              <w:t>Crítico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2b Aplicación</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Software</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Operacional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Gerente de Producto</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RSK-24</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AME-24</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9</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5"/>
              </w:rPr>
              <w:t>Medio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7 Políticas y concientización</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Cumplimiento</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Legal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RSK-25</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AME-25</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4</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12</w:t>
            </w:r>
          </w:p>
        </w:tc>
        <w:tc>
          <w:tcPr>
            <w:tcW w:type="dxa" w:w="80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5"/>
              </w:rPr>
              <w:t>Alto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1 Datos</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Cumplimiento</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Reputacional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RSK-26</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AME-26</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10</w:t>
            </w:r>
          </w:p>
        </w:tc>
        <w:tc>
          <w:tcPr>
            <w:tcW w:type="dxa" w:w="80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5"/>
              </w:rPr>
              <w:t>Alto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1 Datos</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Cloud</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Reputacional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RSK-27</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AME-27</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10</w:t>
            </w:r>
          </w:p>
        </w:tc>
        <w:tc>
          <w:tcPr>
            <w:tcW w:type="dxa" w:w="80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5"/>
              </w:rPr>
              <w:t>Alto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4 Red interna</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Cloud</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Operacional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RSK-28</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AME-28</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10</w:t>
            </w:r>
          </w:p>
        </w:tc>
        <w:tc>
          <w:tcPr>
            <w:tcW w:type="dxa" w:w="80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5"/>
              </w:rPr>
              <w:t>Alto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1 Datos</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Cloud</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Operacional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RSK-29</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AME-29</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6</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5"/>
              </w:rPr>
              <w:t>Medio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1 Datos</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Cloud</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Legal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RSK-30</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AME-30</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4</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20</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5"/>
              </w:rPr>
              <w:t>Crítico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5 Perímetro cloud / red</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Cloud</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Reputacional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RSK-31</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AME-31</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9</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5"/>
              </w:rPr>
              <w:t>Medio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3 Host</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Técnico</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Operacional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Aceptar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RSK-32</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AME-32</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15</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5"/>
              </w:rPr>
              <w:t>Crítico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7 Políticas y concientización</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Técnico</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Operacional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RSK-33</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AME-33</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4</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20</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5"/>
              </w:rPr>
              <w:t>Crítico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2c Implementación</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Software</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Operacional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RSK-34</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AME-34</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25</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5"/>
              </w:rPr>
              <w:t>Crítico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2a Código</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Seguridad</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Operacional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RSK-35</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AME-35</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15</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5"/>
              </w:rPr>
              <w:t>Crítico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3 Host</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Técnico</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Operacional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RSK-36</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AME-36</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4</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20</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5"/>
              </w:rPr>
              <w:t>Crítico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2b Aplicación</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Software</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Financiero</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Gerente de Producto</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RSK-37</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AME-37</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25</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5"/>
              </w:rPr>
              <w:t>Crítico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2b Aplicación</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Software</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Financiero</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Gerente de Producto</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RSK-38</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AME-38</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4</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12</w:t>
            </w:r>
          </w:p>
        </w:tc>
        <w:tc>
          <w:tcPr>
            <w:tcW w:type="dxa" w:w="800"/>
            <w:tcBorders>
              <w:top w:val="nil"/>
              <w:left w:val="nil"/>
              <w:bottom w:val="nil"/>
              <w:right w:val="nil"/>
            </w:tcBorders>
            <w:shd w:val="clear" w:color="auto" w:fill="FCD9BD"/>
            <w:tcMar>
              <w:top w:w="30" w:type="dxa"/>
              <w:left w:w="70" w:type="dxa"/>
              <w:bottom w:w="30" w:type="dxa"/>
              <w:right w:w="70" w:type="dxa"/>
            </w:tcMar>
          </w:tcPr>
          <w:p>
            <w:pPr>
              <w:spacing w:line="360" w:lineRule="auto" w:before="0" w:after="0"/>
              <w:ind w:firstLine="0"/>
              <w:jc w:val="center"/>
            </w:pPr>
            <w:r>
              <w:rPr>
                <w:b w:val="0"/>
                <w:sz w:val="15"/>
              </w:rPr>
              <w:t>Alto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2b Aplicación</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Seguridad</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Financiero</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RSK-39</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AME-39</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15</w:t>
            </w:r>
          </w:p>
        </w:tc>
        <w:tc>
          <w:tcPr>
            <w:tcW w:type="dxa" w:w="800"/>
            <w:tcBorders>
              <w:top w:val="nil"/>
              <w:left w:val="nil"/>
              <w:bottom w:val="nil"/>
              <w:right w:val="nil"/>
            </w:tcBorders>
            <w:shd w:val="clear" w:color="auto" w:fill="F8C9C9"/>
            <w:tcMar>
              <w:top w:w="30" w:type="dxa"/>
              <w:left w:w="70" w:type="dxa"/>
              <w:bottom w:w="30" w:type="dxa"/>
              <w:right w:w="70" w:type="dxa"/>
            </w:tcMar>
          </w:tcPr>
          <w:p>
            <w:pPr>
              <w:spacing w:line="360" w:lineRule="auto" w:before="0" w:after="0"/>
              <w:ind w:firstLine="0"/>
              <w:jc w:val="center"/>
            </w:pPr>
            <w:r>
              <w:rPr>
                <w:b w:val="0"/>
                <w:sz w:val="15"/>
              </w:rPr>
              <w:t>Crítico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2b Aplicación</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Software</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Financiero</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Gerente de Producto</w:t>
            </w:r>
          </w:p>
        </w:tc>
      </w:tr>
      <w:tr>
        <w:trPr>
          <w:cantSplit/>
        </w:trPr>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RSK-40</w:t>
            </w:r>
          </w:p>
        </w:tc>
        <w:tc>
          <w:tcPr>
            <w:tcW w:type="dxa" w:w="7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AME-40</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38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6</w:t>
            </w:r>
          </w:p>
        </w:tc>
        <w:tc>
          <w:tcPr>
            <w:tcW w:type="dxa" w:w="800"/>
            <w:tcBorders>
              <w:top w:val="nil"/>
              <w:left w:val="nil"/>
              <w:bottom w:val="nil"/>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5"/>
              </w:rPr>
              <w:t>Medio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7 Políticas y concientización</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Cumplimiento</w:t>
            </w:r>
          </w:p>
        </w:tc>
        <w:tc>
          <w:tcPr>
            <w:tcW w:type="dxa" w:w="1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Legal</w:t>
            </w:r>
          </w:p>
        </w:tc>
        <w:tc>
          <w:tcPr>
            <w:tcW w:type="dxa" w:w="1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r>
        <w:trPr>
          <w:cantSplit/>
        </w:trPr>
        <w:tc>
          <w:tcPr>
            <w:tcW w:type="dxa" w:w="76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5"/>
              </w:rPr>
              <w:t>RSK-41</w:t>
            </w:r>
          </w:p>
        </w:tc>
        <w:tc>
          <w:tcPr>
            <w:tcW w:type="dxa" w:w="76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5"/>
              </w:rPr>
              <w:t>AME-41</w:t>
            </w:r>
          </w:p>
        </w:tc>
        <w:tc>
          <w:tcPr>
            <w:tcW w:type="dxa" w:w="38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38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52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5"/>
              </w:rPr>
              <w:t>9</w:t>
            </w:r>
          </w:p>
        </w:tc>
        <w:tc>
          <w:tcPr>
            <w:tcW w:type="dxa" w:w="800"/>
            <w:tcBorders>
              <w:top w:val="nil"/>
              <w:left w:val="nil"/>
              <w:bottom w:val="single" w:sz="8" w:color="000000"/>
              <w:right w:val="nil"/>
            </w:tcBorders>
            <w:shd w:val="clear" w:color="auto" w:fill="FDEBC1"/>
            <w:tcMar>
              <w:top w:w="30" w:type="dxa"/>
              <w:left w:w="70" w:type="dxa"/>
              <w:bottom w:w="30" w:type="dxa"/>
              <w:right w:w="70" w:type="dxa"/>
            </w:tcMar>
          </w:tcPr>
          <w:p>
            <w:pPr>
              <w:spacing w:line="360" w:lineRule="auto" w:before="0" w:after="0"/>
              <w:ind w:firstLine="0"/>
              <w:jc w:val="center"/>
            </w:pPr>
            <w:r>
              <w:rPr>
                <w:b w:val="0"/>
                <w:sz w:val="15"/>
              </w:rPr>
              <w:t>Medio</w:t>
            </w:r>
          </w:p>
        </w:tc>
        <w:tc>
          <w:tcPr>
            <w:tcW w:type="dxa" w:w="23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5"/>
              </w:rPr>
              <w:t>3 Host</w:t>
            </w:r>
          </w:p>
        </w:tc>
        <w:tc>
          <w:tcPr>
            <w:tcW w:type="dxa" w:w="13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5"/>
              </w:rPr>
              <w:t>Técnico</w:t>
            </w:r>
          </w:p>
        </w:tc>
        <w:tc>
          <w:tcPr>
            <w:tcW w:type="dxa" w:w="14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5"/>
              </w:rPr>
              <w:t>Reputacional</w:t>
            </w:r>
          </w:p>
        </w:tc>
        <w:tc>
          <w:tcPr>
            <w:tcW w:type="dxa" w:w="13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5"/>
              </w:rPr>
              <w:t>Mitigar</w:t>
            </w:r>
          </w:p>
        </w:tc>
        <w:tc>
          <w:tcPr>
            <w:tcW w:type="dxa" w:w="24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5"/>
              </w:rPr>
              <w:t>Lead Security Architect (I1)</w:t>
            </w:r>
          </w:p>
        </w:tc>
      </w:tr>
    </w:tbl>
    <w:p>
      <w:pPr>
        <w:spacing w:line="480" w:lineRule="auto" w:before="0" w:after="160"/>
        <w:jc w:val="both"/>
      </w:pPr>
      <w:r>
        <w:rPr>
          <w:i/>
          <w:sz w:val="24"/>
        </w:rPr>
        <w:t xml:space="preserve">Nota. </w:t>
      </w:r>
      <w:r>
        <w:rPr>
          <w:sz w:val="24"/>
        </w:rPr>
        <w:t>Elaboración propia a partir del modelo de amenazas T2. P = probabilidad; I = impacto; valores inherentes, sin controles. El control asociado a cada riesgo está en la Tabla 17.</w:t>
      </w:r>
    </w:p>
    <w:p>
      <w:pPr>
        <w:spacing w:before="0" w:after="160" w:line="480" w:lineRule="auto"/>
        <w:sectPr>
          <w:headerReference w:type="default" r:id="rId7"/>
          <w:pgSz w:w="15840" w:h="12240" w:orient="landscape"/>
          <w:pgMar w:top="1440" w:right="1440" w:bottom="1440" w:left="1440" w:header="720" w:footer="720" w:gutter="0"/>
          <w:cols w:space="720"/>
          <w:docGrid w:linePitch="360"/>
        </w:sectPr>
      </w:pPr>
    </w:p>
    <w:p>
      <w:pPr>
        <w:spacing w:before="0" w:after="160" w:line="480" w:lineRule="auto"/>
        <w:ind w:firstLine="720"/>
        <w:jc w:val="both"/>
      </w:pPr>
      <w:r>
        <w:t xml:space="preserve">El tratamiento propuesto es </w:t>
      </w:r>
      <w:r>
        <w:rPr>
          <w:b/>
        </w:rPr>
        <w:t>mitigar</w:t>
      </w:r>
      <w:r>
        <w:t xml:space="preserve"> para 39 riesgos, mediante los controles de diseño de la sección 1.5. Los otros dos riesgos se aceptan. RSK-01 (indisponibilidad de la región us-east-1) nace de nuestra decisión de desplegar en una sola región, que responde a la restricción de costo (Tabla 5): AWS responde por la seguridad física de sus centros de datos bajo el modelo de responsabilidad compartida (AWS, s. f.-c), pero no por la continuidad de Q-Wallet, por lo que el riesgo no se transfiere sino que se acepta. RSK-31</w:t>
      </w:r>
      <w:r>
        <w:rPr>
          <w:b/>
        </w:rPr>
        <w:t xml:space="preserve"/>
      </w:r>
      <w:r>
        <w:t xml:space="preserve"> (SIEM local apagado o comprometido) se </w:t>
      </w:r>
      <w:r>
        <w:rPr>
          <w:b/>
        </w:rPr>
        <w:t>acepta</w:t>
      </w:r>
      <w:r>
        <w:t xml:space="preserve"> en la fase actual por costo, dado que CloudTrail conserva los eventos para su revisión posterior. Por tipo, hay 14 riesgos de tipo software, 11 riesgos de tipo seguridad, 9 riesgos de tipo cloud, 4 riesgos de tipo técnico, 3 riesgos de tipo cumplimiento; por impacto de negocio, 16 con impacto operacional, 12 con impacto reputacional, 10 con impacto financiero, 3 con impacto legal.</w:t>
      </w:r>
    </w:p>
    <w:p>
      <w:pPr>
        <w:pStyle w:val="Heading3"/>
        <w:keepNext/>
        <w:keepLines/>
        <w:spacing w:before="0" w:after="160" w:line="480" w:lineRule="auto"/>
        <w:jc w:val="left"/>
        <w:outlineLvl w:val="2"/>
      </w:pPr>
      <w:r>
        <w:t>2.5.3 Mapa de calor del riesgo inherente</w:t>
      </w:r>
    </w:p>
    <w:p>
      <w:pPr>
        <w:spacing w:before="0" w:after="160" w:line="480" w:lineRule="auto"/>
        <w:ind w:firstLine="720"/>
        <w:jc w:val="both"/>
      </w:pPr>
      <w:r>
        <w:t>La Figura 5 ubica las 41 amenazas en la matriz de 5×5. El riesgo inherente queda en 18 riesgos Críticos, 12 Altos, 11 Medios y 0 Bajos. La concentración en la esquina superior derecha muestra que, sin controles, una billetera expuesta a Internet acumula amenazas fáciles de explotar y de alto impacto, en particular las de autorización a nivel de objeto y de función (AME-17, AME-23 y AME-37) y la exposición de secretos en un repositorio público (AME-34), todas con 25 puntos. Ninguna amenaza queda en nivel Bajo: el impacto mínimo del modelo es 2, porque toda amenaza registrada afecta al menos datos o la cuenta de un cliente, y las de probabilidad 1 tienen impacto 5. Este mapa es el estado «antes» contra el que compararemos el mapa «después», calculado con el riesgo residual una vez verificados los controles.</w:t>
      </w:r>
    </w:p>
    <w:p>
      <w:pPr>
        <w:keepNext/>
        <w:spacing w:before="0" w:line="480" w:lineRule="auto" w:after="160"/>
      </w:pPr>
      <w:r>
        <w:rPr>
          <w:b/>
        </w:rPr>
        <w:t>Figura 5</w:t>
      </w:r>
    </w:p>
    <w:p>
      <w:pPr>
        <w:keepNext/>
        <w:spacing w:line="480" w:lineRule="auto" w:after="160" w:before="0"/>
      </w:pPr>
      <w:r>
        <w:rPr>
          <w:i/>
        </w:rPr>
        <w:t>Mapa de calor del riesgo inherente de Q-Wallet</w:t>
      </w:r>
    </w:p>
    <w:p>
      <w:pPr>
        <w:spacing w:line="480" w:lineRule="auto" w:before="0" w:after="160"/>
        <w:jc w:val="center"/>
      </w:pPr>
      <w:r>
        <w:drawing>
          <wp:inline xmlns:a="http://schemas.openxmlformats.org/drawingml/2006/main" xmlns:pic="http://schemas.openxmlformats.org/drawingml/2006/picture">
            <wp:extent cx="5486400" cy="2859931"/>
            <wp:docPr id="5" name="Picture 1"/>
            <wp:cNvGraphicFramePr>
              <a:graphicFrameLocks noChangeAspect="1"/>
            </wp:cNvGraphicFramePr>
            <a:graphic>
              <a:graphicData uri="http://schemas.openxmlformats.org/drawingml/2006/picture">
                <pic:pic>
                  <pic:nvPicPr>
                    <pic:cNvPr id="5" name="EVD-2-05_heatmap_inherente.png"/>
                    <pic:cNvPicPr/>
                  </pic:nvPicPr>
                  <pic:blipFill>
                    <a:blip r:embed="rId13"/>
                    <a:stretch>
                      <a:fillRect/>
                    </a:stretch>
                  </pic:blipFill>
                  <pic:spPr>
                    <a:xfrm>
                      <a:off x="0" y="0"/>
                      <a:ext cx="5486400" cy="2859931"/>
                    </a:xfrm>
                    <a:prstGeom prst="rect"/>
                  </pic:spPr>
                </pic:pic>
              </a:graphicData>
            </a:graphic>
          </wp:inline>
        </w:drawing>
      </w:r>
    </w:p>
    <w:p>
      <w:pPr>
        <w:spacing w:line="480" w:lineRule="auto" w:before="0" w:after="160"/>
        <w:jc w:val="both"/>
      </w:pPr>
      <w:r>
        <w:rPr>
          <w:i/>
          <w:sz w:val="24"/>
        </w:rPr>
        <w:t xml:space="preserve">Nota. </w:t>
      </w:r>
      <w:r>
        <w:rPr>
          <w:sz w:val="24"/>
        </w:rPr>
        <w:t>Elaboración propia (evidencia EVD-2-05). Cada celda indica el número de amenazas con esa combinación de probabilidad e impacto inherentes; el número permite leer la figura sin depender del color. Escala: 1–4 Bajo, 5–9 Medio, 10–14 Alto, 15–25 Crítico.</w:t>
      </w:r>
    </w:p>
    <w:p>
      <w:pPr>
        <w:pStyle w:val="Heading3"/>
        <w:keepNext/>
        <w:keepLines/>
        <w:spacing w:before="0" w:after="160" w:line="480" w:lineRule="auto"/>
        <w:jc w:val="left"/>
        <w:outlineLvl w:val="2"/>
      </w:pPr>
      <w:r>
        <w:t>2.5.4 Riesgos por capa de defensa</w:t>
      </w:r>
    </w:p>
    <w:p>
      <w:pPr>
        <w:spacing w:before="0" w:after="160" w:line="480" w:lineRule="auto"/>
        <w:ind w:firstLine="720"/>
        <w:jc w:val="both"/>
      </w:pPr>
      <w:r>
        <w:t>Por último, distribuimos los riesgos en las siete capas de defensa en profundidad definidas para Q-Wallet, con la capa 2 dividida en código, aplicación, implementación y perímetro de aplicación. Cada capa tiene al menos un riesgo, de modo que el análisis cubre desde los datos hasta las políticas (Tabla 22). La capa de aplicación (2b) concentra la mayor parte de los riesgos críticos porque allí vive la lógica de negocio: autorización, transferencias y PIN. La capa de datos (1) es la segunda en número de riesgos, por el cifrado en tránsito y en reposo, la exposición en pantalla y los registros.</w:t>
      </w:r>
    </w:p>
    <w:p>
      <w:pPr>
        <w:keepNext/>
        <w:spacing w:before="0" w:line="480" w:lineRule="auto" w:after="160"/>
      </w:pPr>
      <w:r>
        <w:rPr>
          <w:b/>
        </w:rPr>
        <w:t>Tabla 22</w:t>
      </w:r>
    </w:p>
    <w:p>
      <w:pPr>
        <w:keepNext/>
        <w:spacing w:line="480" w:lineRule="auto" w:after="160" w:before="0"/>
      </w:pPr>
      <w:r>
        <w:rPr>
          <w:i/>
        </w:rPr>
        <w:t>Distribución de riesgos inherentes por capa de defensa</w:t>
      </w:r>
    </w:p>
    <w:tbl>
      <w:tblPr>
        <w:tblW w:w="9360" w:type="dxa"/>
        <w:jc w:val="center"/>
        <w:tblLayout w:type="fixed"/>
        <w:tblLook w:firstColumn="1" w:firstRow="1" w:lastColumn="0" w:lastRow="0" w:noHBand="0" w:noVBand="1" w:val="04A0"/>
      </w:tblPr>
      <w:tblGrid>
        <w:gridCol w:w="1550"/>
        <w:gridCol w:w="2300"/>
        <w:gridCol w:w="820"/>
        <w:gridCol w:w="520"/>
        <w:gridCol w:w="520"/>
        <w:gridCol w:w="620"/>
        <w:gridCol w:w="520"/>
        <w:gridCol w:w="2510"/>
      </w:tblGrid>
      <w:tr>
        <w:trPr>
          <w:cantSplit/>
          <w:tblHeader/>
        </w:trPr>
        <w:tc>
          <w:tcPr>
            <w:tcW w:type="dxa" w:w="155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5"/>
              </w:rPr>
              <w:t>Capa</w:t>
            </w:r>
          </w:p>
        </w:tc>
        <w:tc>
          <w:tcPr>
            <w:tcW w:type="dxa" w:w="23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5"/>
              </w:rPr>
              <w:t>Qué se evalúa</w:t>
            </w:r>
          </w:p>
        </w:tc>
        <w:tc>
          <w:tcPr>
            <w:tcW w:type="dxa" w:w="82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5"/>
              </w:rPr>
              <w:t>Riesgos</w:t>
            </w:r>
          </w:p>
        </w:tc>
        <w:tc>
          <w:tcPr>
            <w:tcW w:type="dxa" w:w="52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5"/>
              </w:rPr>
              <w:t>Crít.</w:t>
            </w:r>
          </w:p>
        </w:tc>
        <w:tc>
          <w:tcPr>
            <w:tcW w:type="dxa" w:w="52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5"/>
              </w:rPr>
              <w:t>Alto</w:t>
            </w:r>
          </w:p>
        </w:tc>
        <w:tc>
          <w:tcPr>
            <w:tcW w:type="dxa" w:w="62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5"/>
              </w:rPr>
              <w:t>Medio</w:t>
            </w:r>
          </w:p>
        </w:tc>
        <w:tc>
          <w:tcPr>
            <w:tcW w:type="dxa" w:w="52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5"/>
              </w:rPr>
              <w:t>Bajo</w:t>
            </w:r>
          </w:p>
        </w:tc>
        <w:tc>
          <w:tcPr>
            <w:tcW w:type="dxa" w:w="251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5"/>
              </w:rPr>
              <w:t>Riesgos (RSK)</w:t>
            </w:r>
          </w:p>
        </w:tc>
      </w:tr>
      <w:tr>
        <w:trPr>
          <w:cantSplit/>
        </w:trPr>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1 Datos</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Cifrado en reposo y en tránsito, enmascaramiento, llaves</w:t>
            </w:r>
          </w:p>
        </w:tc>
        <w:tc>
          <w:tcPr>
            <w:tcW w:type="dxa" w:w="8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8</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0</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6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0</w:t>
            </w:r>
          </w:p>
        </w:tc>
        <w:tc>
          <w:tcPr>
            <w:tcW w:type="dxa" w:w="251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RSK-05, RSK-06, RSK-09, RSK-10, RSK-25, RSK-26, RSK-28, RSK-29</w:t>
            </w:r>
          </w:p>
        </w:tc>
      </w:tr>
      <w:tr>
        <w:trPr>
          <w:cantSplit/>
        </w:trPr>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2a Código</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Validación de entrada, secretos, prácticas seguras</w:t>
            </w:r>
          </w:p>
        </w:tc>
        <w:tc>
          <w:tcPr>
            <w:tcW w:type="dxa" w:w="8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5</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1</w:t>
            </w:r>
          </w:p>
        </w:tc>
        <w:tc>
          <w:tcPr>
            <w:tcW w:type="dxa" w:w="6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1</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0</w:t>
            </w:r>
          </w:p>
        </w:tc>
        <w:tc>
          <w:tcPr>
            <w:tcW w:type="dxa" w:w="251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RSK-07, RSK-08, RSK-12, RSK-21, RSK-34</w:t>
            </w:r>
          </w:p>
        </w:tc>
      </w:tr>
      <w:tr>
        <w:trPr>
          <w:cantSplit/>
        </w:trPr>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2b Aplicación</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Lógica de negocio, autenticación y autorización</w:t>
            </w:r>
          </w:p>
        </w:tc>
        <w:tc>
          <w:tcPr>
            <w:tcW w:type="dxa" w:w="8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11</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9</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w:t>
            </w:r>
          </w:p>
        </w:tc>
        <w:tc>
          <w:tcPr>
            <w:tcW w:type="dxa" w:w="6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0</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0</w:t>
            </w:r>
          </w:p>
        </w:tc>
        <w:tc>
          <w:tcPr>
            <w:tcW w:type="dxa" w:w="251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RSK-04, RSK-15, RSK-16, RSK-17, RSK-20, RSK-22, RSK-23, RSK-36, RSK-37, RSK-38, RSK-39</w:t>
            </w:r>
          </w:p>
        </w:tc>
      </w:tr>
      <w:tr>
        <w:trPr>
          <w:cantSplit/>
        </w:trPr>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2c Implementación</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Dependencias npm, SDK y frameworks</w:t>
            </w:r>
          </w:p>
        </w:tc>
        <w:tc>
          <w:tcPr>
            <w:tcW w:type="dxa" w:w="8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1</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1</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0</w:t>
            </w:r>
          </w:p>
        </w:tc>
        <w:tc>
          <w:tcPr>
            <w:tcW w:type="dxa" w:w="6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0</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0</w:t>
            </w:r>
          </w:p>
        </w:tc>
        <w:tc>
          <w:tcPr>
            <w:tcW w:type="dxa" w:w="251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RSK-33</w:t>
            </w:r>
          </w:p>
        </w:tc>
      </w:tr>
      <w:tr>
        <w:trPr>
          <w:cantSplit/>
        </w:trPr>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2d Perímetro de aplicación</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Endpoints, CORS, límites por endpoint</w:t>
            </w:r>
          </w:p>
        </w:tc>
        <w:tc>
          <w:tcPr>
            <w:tcW w:type="dxa" w:w="8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1</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w:t>
            </w:r>
          </w:p>
        </w:tc>
        <w:tc>
          <w:tcPr>
            <w:tcW w:type="dxa" w:w="6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0</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0</w:t>
            </w:r>
          </w:p>
        </w:tc>
        <w:tc>
          <w:tcPr>
            <w:tcW w:type="dxa" w:w="251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RSK-13, RSK-14, RSK-18</w:t>
            </w:r>
          </w:p>
        </w:tc>
      </w:tr>
      <w:tr>
        <w:trPr>
          <w:cantSplit/>
        </w:trPr>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3 Host</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Contenedores, runtime, dispositivo y estación local</w:t>
            </w:r>
          </w:p>
        </w:tc>
        <w:tc>
          <w:tcPr>
            <w:tcW w:type="dxa" w:w="8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1</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0</w:t>
            </w:r>
          </w:p>
        </w:tc>
        <w:tc>
          <w:tcPr>
            <w:tcW w:type="dxa" w:w="6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0</w:t>
            </w:r>
          </w:p>
        </w:tc>
        <w:tc>
          <w:tcPr>
            <w:tcW w:type="dxa" w:w="251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RSK-31, RSK-35, RSK-41</w:t>
            </w:r>
          </w:p>
        </w:tc>
      </w:tr>
      <w:tr>
        <w:trPr>
          <w:cantSplit/>
        </w:trPr>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4 Red interna</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Roles IAM por Lambda, microsegmentación lógica</w:t>
            </w:r>
          </w:p>
        </w:tc>
        <w:tc>
          <w:tcPr>
            <w:tcW w:type="dxa" w:w="8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0</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w:t>
            </w:r>
          </w:p>
        </w:tc>
        <w:tc>
          <w:tcPr>
            <w:tcW w:type="dxa" w:w="6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0</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0</w:t>
            </w:r>
          </w:p>
        </w:tc>
        <w:tc>
          <w:tcPr>
            <w:tcW w:type="dxa" w:w="251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RSK-19, RSK-27</w:t>
            </w:r>
          </w:p>
        </w:tc>
      </w:tr>
      <w:tr>
        <w:trPr>
          <w:cantSplit/>
        </w:trPr>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5 Perímetro cloud / red</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AWS WAF, throttling, Shield Standard</w:t>
            </w:r>
          </w:p>
        </w:tc>
        <w:tc>
          <w:tcPr>
            <w:tcW w:type="dxa" w:w="8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0</w:t>
            </w:r>
          </w:p>
        </w:tc>
        <w:tc>
          <w:tcPr>
            <w:tcW w:type="dxa" w:w="6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0</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0</w:t>
            </w:r>
          </w:p>
        </w:tc>
        <w:tc>
          <w:tcPr>
            <w:tcW w:type="dxa" w:w="251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RSK-11, RSK-30</w:t>
            </w:r>
          </w:p>
        </w:tc>
      </w:tr>
      <w:tr>
        <w:trPr>
          <w:cantSplit/>
        </w:trPr>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6 Seguridad física</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Centros de datos AWS, dispositivo físico</w:t>
            </w:r>
          </w:p>
        </w:tc>
        <w:tc>
          <w:tcPr>
            <w:tcW w:type="dxa" w:w="8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0</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0</w:t>
            </w:r>
          </w:p>
        </w:tc>
        <w:tc>
          <w:tcPr>
            <w:tcW w:type="dxa" w:w="6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2</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0</w:t>
            </w:r>
          </w:p>
        </w:tc>
        <w:tc>
          <w:tcPr>
            <w:tcW w:type="dxa" w:w="251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RSK-01, RSK-02</w:t>
            </w:r>
          </w:p>
        </w:tc>
      </w:tr>
      <w:tr>
        <w:trPr>
          <w:cantSplit/>
        </w:trPr>
        <w:tc>
          <w:tcPr>
            <w:tcW w:type="dxa" w:w="155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7 Políticas y concientización</w:t>
            </w:r>
          </w:p>
        </w:tc>
        <w:tc>
          <w:tcPr>
            <w:tcW w:type="dxa" w:w="23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MFA, DevSecOps, incidentes, capacitación</w:t>
            </w:r>
          </w:p>
        </w:tc>
        <w:tc>
          <w:tcPr>
            <w:tcW w:type="dxa" w:w="8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4</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1</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0</w:t>
            </w:r>
          </w:p>
        </w:tc>
        <w:tc>
          <w:tcPr>
            <w:tcW w:type="dxa" w:w="6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3</w:t>
            </w:r>
          </w:p>
        </w:tc>
        <w:tc>
          <w:tcPr>
            <w:tcW w:type="dxa" w:w="52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0</w:t>
            </w:r>
          </w:p>
        </w:tc>
        <w:tc>
          <w:tcPr>
            <w:tcW w:type="dxa" w:w="251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RSK-03, RSK-24, RSK-32, RSK-40</w:t>
            </w:r>
          </w:p>
        </w:tc>
      </w:tr>
      <w:tr>
        <w:trPr>
          <w:cantSplit/>
        </w:trPr>
        <w:tc>
          <w:tcPr>
            <w:tcW w:type="dxa" w:w="155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5"/>
              </w:rPr>
              <w:t>Total</w:t>
            </w:r>
          </w:p>
        </w:tc>
        <w:tc>
          <w:tcPr>
            <w:tcW w:type="dxa" w:w="230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5"/>
              </w:rPr>
            </w:r>
          </w:p>
        </w:tc>
        <w:tc>
          <w:tcPr>
            <w:tcW w:type="dxa" w:w="82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5"/>
              </w:rPr>
              <w:t>41</w:t>
            </w:r>
          </w:p>
        </w:tc>
        <w:tc>
          <w:tcPr>
            <w:tcW w:type="dxa" w:w="52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5"/>
              </w:rPr>
              <w:t>18</w:t>
            </w:r>
          </w:p>
        </w:tc>
        <w:tc>
          <w:tcPr>
            <w:tcW w:type="dxa" w:w="52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5"/>
              </w:rPr>
              <w:t>12</w:t>
            </w:r>
          </w:p>
        </w:tc>
        <w:tc>
          <w:tcPr>
            <w:tcW w:type="dxa" w:w="62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5"/>
              </w:rPr>
              <w:t>11</w:t>
            </w:r>
          </w:p>
        </w:tc>
        <w:tc>
          <w:tcPr>
            <w:tcW w:type="dxa" w:w="52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val="0"/>
                <w:sz w:val="15"/>
              </w:rPr>
              <w:t>0</w:t>
            </w:r>
          </w:p>
        </w:tc>
        <w:tc>
          <w:tcPr>
            <w:tcW w:type="dxa" w:w="2510"/>
            <w:tcBorders>
              <w:top w:val="nil"/>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val="0"/>
                <w:sz w:val="15"/>
              </w:rPr>
            </w:r>
          </w:p>
        </w:tc>
      </w:tr>
    </w:tbl>
    <w:p>
      <w:pPr>
        <w:spacing w:line="480" w:lineRule="auto" w:before="0" w:after="160"/>
        <w:jc w:val="both"/>
      </w:pPr>
      <w:r>
        <w:rPr>
          <w:i/>
          <w:sz w:val="24"/>
        </w:rPr>
        <w:t xml:space="preserve">Nota. </w:t>
      </w:r>
      <w:r>
        <w:rPr>
          <w:sz w:val="24"/>
        </w:rPr>
        <w:t>Elaboración propia a partir de la Tabla 21. Crít. = Crítico.</w:t>
      </w:r>
    </w:p>
    <w:p>
      <w:pPr>
        <w:spacing w:before="0" w:after="160" w:line="480" w:lineRule="auto"/>
        <w:ind w:firstLine="720"/>
        <w:jc w:val="both"/>
      </w:pPr>
      <w:r>
        <w:t>Los riesgos de las capas de red interna (4), perímetro cloud (5) y seguridad física (6) son pocos porque la arquitectura sin servidor delega en AWS buena parte de esas capas: no hay red privada ni servidores propios, y la segmentación se logra con un rol IAM por Lambda. Esa delegación no elimina el riesgo, sino que lo traslada a la configuración de la cuenta, que se trata en las capas 1, 4 y 5 mediante Terraform revisado por Checkov.</w:t>
      </w:r>
    </w:p>
    <w:p>
      <w:pPr>
        <w:pStyle w:val="Heading3"/>
        <w:keepNext/>
        <w:keepLines/>
        <w:spacing w:before="0" w:after="160" w:line="480" w:lineRule="auto"/>
        <w:jc w:val="left"/>
        <w:outlineLvl w:val="2"/>
      </w:pPr>
      <w:r>
        <w:t>2.5.5 Riesgo residual proyectado y tratamiento</w:t>
      </w:r>
    </w:p>
    <w:p>
      <w:pPr>
        <w:spacing w:before="0" w:after="160" w:line="480" w:lineRule="auto"/>
        <w:ind w:firstLine="720"/>
        <w:jc w:val="both"/>
      </w:pPr>
      <w:r>
        <w:t xml:space="preserve">Para cerrar el análisis proyectamos el riesgo residual de cada amenaza, es decir, el riesgo que esperamos que quede cuando el control asignado en la Tabla 17 esté implementado. Para cada amenaza volvimos a estimar la probabilidad y el impacto con la misma escala de la sección 2.5.1, suponiendo el control en funcionamiento, y registramos el resultado en el modelo de amenazas junto a la mitigación. Es una proyección y no una medición: ISO/IEC 27005:2022 (ISO e IEC, 2022b) indica que el riesgo residual se evalúa después de aplicar el tratamiento, por lo que el mapa definitivo lo elaboraremos con la evidencia de las pruebas de los controles y de los casos de abuso.</w:t>
      </w:r>
    </w:p>
    <w:p>
      <w:pPr>
        <w:spacing w:before="0" w:after="160" w:line="480" w:lineRule="auto"/>
        <w:ind w:firstLine="720"/>
        <w:jc w:val="both"/>
      </w:pPr>
      <w:r>
        <w:t xml:space="preserve">La Figura 6 muestra el resultado. Los riesgos Críticos pasan de 18 a 0, los Altos de 12 a 1, los Medios de 11 a 26 y los Bajos de 0 a 14; la suma de los puntajes P×I de las 41 amenazas baja de 580 a 207, una reducción de 64 %. La mayoría de los controles de diseño son preventivos: hacen más difícil que la amenaza ocurra, pero no reducen el daño si llega a ocurrir. Por eso 32 amenazas bajan solo su probabilidad, 7 bajan también su impacto (AME-04, AME-11, AME-15, AME-19, AME-20, AME-33 y AME-35) y 2 no cambian por su tratamiento (AME-01 y AME-31). En consecuencia, 15 riesgos quedan en la celda P1 × I5 = 5 (Medio): 14 porque su probabilidad baja al mínimo y RSK-01, que ya partía de ahí; en todos, el impacto sigue siendo máximo, como en el acceso a cuentas ajenas (AME-17) o la exposición de secretos (AME-34). Bajarlos a nivel Bajo exigiría reducir el impacto, por ejemplo con límites de monto por transferencia, lo que dejamos como recomendación.</w:t>
      </w:r>
    </w:p>
    <w:p>
      <w:pPr>
        <w:keepNext/>
        <w:spacing w:before="0" w:line="480" w:lineRule="auto" w:after="160"/>
      </w:pPr>
      <w:r>
        <w:rPr>
          <w:b/>
        </w:rPr>
        <w:t>Figura 6</w:t>
      </w:r>
    </w:p>
    <w:p>
      <w:pPr>
        <w:keepNext/>
        <w:spacing w:line="480" w:lineRule="auto" w:after="160" w:before="0"/>
      </w:pPr>
      <w:r>
        <w:rPr>
          <w:i/>
        </w:rPr>
        <w:t>Mapa de calor del riesgo residual proyectado de Q-Wallet</w:t>
      </w:r>
    </w:p>
    <w:p>
      <w:pPr>
        <w:spacing w:line="480" w:lineRule="auto" w:before="0" w:after="160"/>
        <w:jc w:val="center"/>
      </w:pPr>
      <w:r>
        <w:drawing>
          <wp:inline xmlns:a="http://schemas.openxmlformats.org/drawingml/2006/main" xmlns:pic="http://schemas.openxmlformats.org/drawingml/2006/picture">
            <wp:extent cx="5486400" cy="2859931"/>
            <wp:docPr id="6" name="Picture 14"/>
            <wp:cNvGraphicFramePr>
              <a:graphicFrameLocks noChangeAspect="1"/>
            </wp:cNvGraphicFramePr>
            <a:graphic>
              <a:graphicData uri="http://schemas.openxmlformats.org/drawingml/2006/picture">
                <pic:pic>
                  <pic:nvPicPr>
                    <pic:cNvPr id="6" name="EVD-2-07_heatmap_residual_proyectado.png"/>
                    <pic:cNvPicPr/>
                  </pic:nvPicPr>
                  <pic:blipFill>
                    <a:blip r:embed="rId14"/>
                    <a:stretch>
                      <a:fillRect/>
                    </a:stretch>
                  </pic:blipFill>
                  <pic:spPr>
                    <a:xfrm>
                      <a:off x="0" y="0"/>
                      <a:ext cx="5486400" cy="2859931"/>
                    </a:xfrm>
                    <a:prstGeom prst="rect"/>
                  </pic:spPr>
                </pic:pic>
              </a:graphicData>
            </a:graphic>
          </wp:inline>
        </w:drawing>
      </w:r>
    </w:p>
    <w:p>
      <w:pPr>
        <w:spacing w:line="480" w:lineRule="auto" w:before="0" w:after="160"/>
        <w:jc w:val="both"/>
      </w:pPr>
      <w:r>
        <w:rPr>
          <w:i/>
          <w:sz w:val="24"/>
        </w:rPr>
        <w:t xml:space="preserve">Nota. </w:t>
      </w:r>
      <w:r>
        <w:rPr>
          <w:sz w:val="24"/>
        </w:rPr>
        <w:t>Elaboración propia (evidencia EVD-2-07) a partir del riesgo residual esperado registrado para cada amenaza en el modelo de amenazas T2. Mismo formato y escala que la Figura 5: cada celda indica el número de amenazas con esa combinación de probabilidad e impacto residuales. Proyección pendiente de verificación con pruebas.</w:t>
      </w:r>
    </w:p>
    <w:p>
      <w:pPr>
        <w:spacing w:before="0" w:after="160" w:line="480" w:lineRule="auto"/>
        <w:ind w:firstLine="720"/>
        <w:jc w:val="both"/>
      </w:pPr>
      <w:r>
        <w:t xml:space="preserve">Para decidir qué residual es tolerable definimos un criterio de aceptación del riesgo, como pide ISO/IEC 27005:2022: un riesgo residual Bajo se acepta; uno Medio se acepta con la aprobación del propietario del activo y seguimiento en el SIEM (en RSK-31, cuyo activo es el propio SIEM, el seguimiento es una revisión manual semanal de los eventos que conserva CloudTrail); uno Alto no se acepta sin un plan de tratamiento con plazo, y uno Crítico no se acepta. La Tabla 23 compara, riesgo por riesgo, el valor inherente con el residual proyectado y el tratamiento. Los 39 riesgos que se mitigan reducen su puntaje. Los dos restantes no cambian, y es coherente con su tratamiento: RSK-01 y RSK-31 se aceptan, por lo que no se aplica un control adicional: RSK-01 queda en 5 y RSK-31 en 9, ambos de nivel Medio y dentro del criterio.</w:t>
      </w:r>
    </w:p>
    <w:p>
      <w:pPr>
        <w:spacing w:before="0" w:after="160" w:line="480" w:lineRule="auto"/>
        <w:ind w:firstLine="720"/>
        <w:jc w:val="both"/>
      </w:pPr>
      <w:r>
        <w:t xml:space="preserve">El único residual Alto es RSK-32 (compromiso del pipeline de despliegue). Su impacto se mantiene en 5, porque quien controle el pipeline puede publicar código en producción, y su probabilidad baja solo a 2: el despliegue por OIDC y la fijación de las GitHub Actions por SHA (CTRL-21) eliminan las llaves estáticas, pero la regla de la rama principal no exige la aprobación de otro integrante y la cadena de suministro de las Actions depende de terceros. Según el criterio anterior, este residual no se acepta. El plan de tratamiento refuerza CTRL-21 en la fase de arquitectura, antes del primer despliegue del pipeline a AWS, con tres medidas: un entorno de despliegue protegido en GitHub que exija la aprobación de un segundo integrante, una política de confianza OIDC que solo admita ese entorno y la rama principal, y un rol de despliegue con el mínimo de permisos. Con ese refuerzo esperamos llevar la probabilidad a 1 y el riesgo a 5 (Medio).</w:t>
      </w:r>
    </w:p>
    <w:p>
      <w:pPr>
        <w:spacing w:before="0" w:after="160" w:line="480" w:lineRule="auto"/>
        <w:ind w:firstLine="720"/>
        <w:jc w:val="both"/>
      </w:pPr>
      <w:r>
        <w:t xml:space="preserve">Por último, que ningún riesgo inherente quede en nivel Bajo no se debe al redondeo hacia arriba de la conversión de la sección 2.5.1. Si redondeáramos al entero más cercano, solo una amenaza (AME-41) bajaría a Bajo. La causa está en el alcance del modelo: solo registramos amenazas que afectan dinero, datos personales o la disponibilidad de la plataforma, por lo que el impacto mínimo es 2 y la única amenaza con probabilidad 1 tiene impacto 5. El redondeo hacia arriba es una decisión conservadora: ante la duda, preferimos no subestimar un riesgo.</w:t>
      </w:r>
    </w:p>
    <w:p>
      <w:pPr>
        <w:spacing w:before="0" w:after="160" w:line="480" w:lineRule="auto"/>
        <w:ind w:firstLine="720"/>
        <w:jc w:val="both"/>
      </w:pPr>
      <w:r>
        <w:t xml:space="preserve">En síntesis, el riesgo inherente de Q-Wallet (18 riesgos críticos, 12 altos y 11 medios, con una suma de 580) no es aceptable sin controles. Con los 23 controles de diseño, la proyección lo lleva a 0 críticos, 1 alto, 26 medios y 14 bajos, con una suma de 207, lo que cumple el criterio de aceptación salvo por RSK-32, que tiene un plan de tratamiento con plazo. Esta conclusión es provisional: el dictamen sobre el riesgo residual lo emitiremos en la entrega final, con la evidencia de las pruebas de los controles y de los casos de abuso.</w:t>
      </w:r>
    </w:p>
    <w:p>
      <w:pPr>
        <w:keepNext/>
        <w:spacing w:before="0" w:line="480" w:lineRule="auto" w:after="160"/>
      </w:pPr>
      <w:r>
        <w:rPr>
          <w:b/>
        </w:rPr>
        <w:t>Tabla 23</w:t>
      </w:r>
    </w:p>
    <w:p>
      <w:pPr>
        <w:keepNext/>
        <w:spacing w:line="480" w:lineRule="auto" w:after="160" w:before="0"/>
      </w:pPr>
      <w:r>
        <w:rPr>
          <w:i/>
        </w:rPr>
        <w:t>Riesgo inherente y residual proyectado por riesgo</w:t>
      </w:r>
    </w:p>
    <w:tbl>
      <w:tblPr>
        <w:tblW w:w="9360" w:type="dxa"/>
        <w:jc w:val="center"/>
        <w:tblLayout w:type="fixed"/>
        <w:tblLook w:firstColumn="1" w:firstRow="1" w:lastColumn="0" w:lastRow="0" w:noHBand="0" w:noVBand="1" w:val="04A0"/>
      </w:tblPr>
      <w:tblGrid>
        <w:gridCol w:w="700"/>
        <w:gridCol w:w="3860"/>
        <w:gridCol w:w="860"/>
        <w:gridCol w:w="800"/>
        <w:gridCol w:w="860"/>
        <w:gridCol w:w="800"/>
        <w:gridCol w:w="1480"/>
      </w:tblGrid>
      <w:tr>
        <w:trPr>
          <w:cantSplit/>
          <w:tblHeader/>
        </w:trPr>
        <w:tc>
          <w:tcPr>
            <w:tcW w:type="dxa" w:w="7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5"/>
              </w:rPr>
              <w:t xml:space="preserve">RSK</w:t>
            </w:r>
          </w:p>
        </w:tc>
        <w:tc>
          <w:tcPr>
            <w:tcW w:type="dxa" w:w="386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5"/>
              </w:rPr>
              <w:t xml:space="preserve">Amenaza (AME)</w:t>
            </w:r>
          </w:p>
        </w:tc>
        <w:tc>
          <w:tcPr>
            <w:tcW w:type="dxa" w:w="86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5"/>
              </w:rPr>
              <w:t xml:space="preserve">Inherente P×I</w:t>
            </w:r>
          </w:p>
        </w:tc>
        <w:tc>
          <w:tcPr>
            <w:tcW w:type="dxa" w:w="8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5"/>
              </w:rPr>
              <w:t xml:space="preserve">Nivel</w:t>
            </w:r>
          </w:p>
        </w:tc>
        <w:tc>
          <w:tcPr>
            <w:tcW w:type="dxa" w:w="86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5"/>
              </w:rPr>
              <w:t xml:space="preserve">Residual P×I</w:t>
            </w:r>
          </w:p>
        </w:tc>
        <w:tc>
          <w:tcPr>
            <w:tcW w:type="dxa" w:w="8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5"/>
              </w:rPr>
              <w:t xml:space="preserve">Nivel</w:t>
            </w:r>
          </w:p>
        </w:tc>
        <w:tc>
          <w:tcPr>
            <w:tcW w:type="dxa" w:w="148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5"/>
              </w:rPr>
              <w:t xml:space="preserve">Tratamiento</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RSK-01</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AME-01 Indisponibilidad de la región us-east-1</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1×5 = 5</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1×5 = 5</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Aceptar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RSK-02</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AME-02 Uso de la app desde un dispositivo perdido o robado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3×3 = 9</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1×3 = 3</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Bajo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RSK-03</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AME-03 Ingeniería social contra personal de soporte</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3×3 = 9</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2×3 = 6</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RSK-04</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AME-04 Toma de cuenta con credenciales obtenidas por phishing</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4×5 = 20</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Crítico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2×4 = 8</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RSK-05</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AME-05 Modificación de una transferencia en tránsito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3×4 = 12</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Alto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1×4 = 4</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Bajo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RSK-06</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AME-06 Intercepción de tokens y datos personales</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3×4 = 12</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Alto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1×4 = 4</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Bajo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RSK-07</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AME-07 Ingeniería inversa y hooking de la app</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3×3 = 9</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2×3 = 6</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RSK-08</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AME-08 Secretos embebidos en el APK</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4×5 = 20</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Crítico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1×5 = 5</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RSK-09</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AME-09 Exposición de saldo en capturas y vista de apps recientes</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4×2 = 8</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1×2 = 2</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Bajo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RSK-10</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AME-10 Extracción de tokens del almacenamiento del dispositivo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3×3 = 9</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2×3 = 6</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RSK-11</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AME-11 Saturación de la API y consumo de costo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5×4 = 20</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Crítico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3×3 = 9</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RSK-12</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AME-12 Envío de cargas maliciosas y entradas malformadas</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3×4 = 12</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Alto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1×4 = 4</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Bajo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RSK-13</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AME-13 Ruta publicada sin Cognito Authorizer</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4×5 = 20</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Crítico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1×5 = 5</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RSK-14</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AME-14 Mensajes de error con detalle interno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5×2 = 10</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Alto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1×2 = 2</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Bajo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RSK-15</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AME-15 Credential stuffing contra el managed login</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5×4 = 20</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Crítico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2×3 = 6</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RSK-16</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AME-16 Token JWT alterado o falsificado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3×5 = 15</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Crítico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1×5 = 5</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RSK-17</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AME-17 Lectura de movimientos de una cuenta ajena (BOLA)</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5×5 = 25</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Crítico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1×5 = 5</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RSK-18</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AME-18 Consulta sin límite en movimientos</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4×3 = 12</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Alto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1×3 = 3</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Bajo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RSK-19</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AME-19 Rol IAM de Lambda con permisos excesivos</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2×5 = 10</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Alto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1×4 = 4</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Bajo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RSK-20</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AME-20 Enumeración de usuarios por número de teléfono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5×4 = 20</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Crítico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3×2 = 6</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RSK-21</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AME-21 Asignación masiva de atributos en PATCH /me</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4×5 = 20</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Crítico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1×5 = 5</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RSK-22</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AME-22 Modificación de presupuestos de otro usuario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5×2 = 10</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Alto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1×2 = 2</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Bajo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RSK-23</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AME-23 Acceso de un cliente a /admin/* (BFLA)</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5×5 = 25</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Crítico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1×5 = 5</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RSK-24</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AME-24 Acciones administrativas sin trazabilidad</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3×3 = 9</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2×3 = 6</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RSK-25</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AME-25 Tokens o datos personales escritos en logs</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3×4 = 12</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Alto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1×4 = 4</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Bajo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RSK-26</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AME-26 Acceso a datos en reposo o a exportaciones de DynamoDB</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2×5 = 10</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Alto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1×5 = 5</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RSK-27</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AME-27 Lectura de secretos por un rol no autorizado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2×5 = 10</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Alto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1×5 = 5</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RSK-28</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AME-28 Deshabilitación o eliminación programada de la CMK</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2×5 = 10</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Alto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1×5 = 5</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RSK-29</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AME-29 Borrado o alteración de CloudTrail para ocultar actividad</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2×3 = 6</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1×3 = 3</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Bajo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RSK-30</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AME-30 Bucket S3 público con registros o estado de Terraform</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4×5 = 20</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Crítico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1×5 = 5</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RSK-31</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AME-31 SIEM local apagado o comprometido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3×3 = 9</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3×3 = 9</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Aceptar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RSK-32</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AME-32 Compromiso del pipeline de despliegue</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3×5 = 15</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Crítico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2×5 = 10</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Alto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RSK-33</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AME-33 Dependencia npm vulnerable o maliciosa</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4×5 = 20</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Crítico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2×4 = 8</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RSK-34</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AME-34 Secretos en el historial de un repositorio público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5×5 = 25</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Crítico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1×5 = 5</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RSK-35</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AME-35 Imagen de contenedor alterada o con base vulnerable</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3×5 = 15</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Crítico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1×4 = 4</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Bajo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RSK-36</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AME-36 Monto negativo, decimal o fuera de rango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4×5 = 20</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Crítico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1×5 = 5</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RSK-37</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AME-37 Transferencia desde una cuenta origen ajena</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5×5 = 25</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Crítico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1×5 = 5</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RSK-38</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AME-38 Fuerza bruta del PIN de transacción</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4×3 = 12</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Alto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1×3 = 3</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Bajo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RSK-39</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AME-39 Doble gasto por solicitudes concurrentes</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3×5 = 15</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Crítico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1×5 = 5</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RSK-40</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AME-40 Cliente niega haber realizado una transferencia</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3×2 = 6</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2×2 = 4</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Bajo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RSK-41</w:t>
            </w:r>
          </w:p>
        </w:tc>
        <w:tc>
          <w:tcPr>
            <w:tcW w:type="dxa" w:w="386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AME-41 Lectura de los registros de AWS con las credenciales del SIEM local</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3×3 = 9</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86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2×3 = 6</w:t>
            </w:r>
          </w:p>
        </w:tc>
        <w:tc>
          <w:tcPr>
            <w:tcW w:type="dxa" w:w="800"/>
            <w:tcBorders>
              <w:top w:val="nil"/>
              <w:left w:val="nil"/>
              <w:bottom w:val="nil"/>
              <w:right w:val="nil"/>
            </w:tcBorders>
            <w:tcMar>
              <w:top w:w="30" w:type="dxa"/>
              <w:left w:w="70" w:type="dxa"/>
              <w:bottom w:w="30" w:type="dxa"/>
              <w:right w:w="70" w:type="dxa"/>
            </w:tcMar>
          </w:tcPr>
          <w:p>
            <w:pPr>
              <w:spacing w:line="360" w:lineRule="auto" w:before="0" w:after="0"/>
              <w:ind w:firstLine="0"/>
              <w:jc w:val="center"/>
            </w:pPr>
            <w:r>
              <w:rPr>
                <w:b w:val="0"/>
                <w:sz w:val="15"/>
              </w:rPr>
              <w:t xml:space="preserve">Medio</w:t>
            </w:r>
          </w:p>
        </w:tc>
        <w:tc>
          <w:tcPr>
            <w:tcW w:type="dxa" w:w="1480"/>
            <w:tcBorders>
              <w:top w:val="nil"/>
              <w:left w:val="nil"/>
              <w:bottom w:val="nil"/>
              <w:right w:val="nil"/>
            </w:tcBorders>
            <w:tcMar>
              <w:top w:w="30" w:type="dxa"/>
              <w:left w:w="70" w:type="dxa"/>
              <w:bottom w:w="30" w:type="dxa"/>
              <w:right w:w="70" w:type="dxa"/>
            </w:tcMar>
          </w:tcPr>
          <w:p>
            <w:pPr>
              <w:spacing w:line="360" w:lineRule="auto" w:before="0" w:after="0"/>
              <w:ind w:firstLine="0"/>
              <w:jc w:val="left"/>
            </w:pPr>
            <w:r>
              <w:rPr>
                <w:b w:val="0"/>
                <w:sz w:val="15"/>
              </w:rPr>
              <w:t xml:space="preserve">Mitigar</w:t>
            </w:r>
          </w:p>
        </w:tc>
      </w:tr>
      <w:tr>
        <w:trPr>
          <w:cantSplit/>
        </w:trPr>
        <w:tc>
          <w:tcPr>
            <w:tcW w:type="dxa" w:w="7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5"/>
              </w:rPr>
              <w:t xml:space="preserve">Total</w:t>
            </w:r>
          </w:p>
        </w:tc>
        <w:tc>
          <w:tcPr>
            <w:tcW w:type="dxa" w:w="386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5"/>
              </w:rPr>
              <w:t xml:space="preserve">41 riesgos</w:t>
            </w:r>
          </w:p>
        </w:tc>
        <w:tc>
          <w:tcPr>
            <w:tcW w:type="dxa" w:w="86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5"/>
              </w:rPr>
              <w:t xml:space="preserve">Suma 580</w:t>
            </w:r>
          </w:p>
        </w:tc>
        <w:tc>
          <w:tcPr>
            <w:tcW w:type="dxa" w:w="8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5"/>
              </w:rPr>
              <w:t xml:space="preserve"/>
            </w:r>
          </w:p>
        </w:tc>
        <w:tc>
          <w:tcPr>
            <w:tcW w:type="dxa" w:w="86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5"/>
              </w:rPr>
              <w:t xml:space="preserve">Suma 207</w:t>
            </w:r>
          </w:p>
        </w:tc>
        <w:tc>
          <w:tcPr>
            <w:tcW w:type="dxa" w:w="80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center"/>
            </w:pPr>
            <w:r>
              <w:rPr>
                <w:b/>
                <w:sz w:val="15"/>
              </w:rPr>
              <w:t xml:space="preserve"/>
            </w:r>
          </w:p>
        </w:tc>
        <w:tc>
          <w:tcPr>
            <w:tcW w:type="dxa" w:w="1480"/>
            <w:tcBorders>
              <w:top w:val="single" w:sz="8" w:color="000000"/>
              <w:left w:val="nil"/>
              <w:bottom w:val="single" w:sz="8" w:color="000000"/>
              <w:right w:val="nil"/>
            </w:tcBorders>
            <w:tcMar>
              <w:top w:w="30" w:type="dxa"/>
              <w:left w:w="70" w:type="dxa"/>
              <w:bottom w:w="30" w:type="dxa"/>
              <w:right w:w="70" w:type="dxa"/>
            </w:tcMar>
          </w:tcPr>
          <w:p>
            <w:pPr>
              <w:spacing w:line="360" w:lineRule="auto" w:before="0" w:after="0"/>
              <w:ind w:firstLine="0"/>
              <w:jc w:val="left"/>
            </w:pPr>
            <w:r>
              <w:rPr>
                <w:b/>
                <w:sz w:val="15"/>
              </w:rPr>
              <w:t xml:space="preserve"/>
            </w:r>
          </w:p>
        </w:tc>
      </w:tr>
    </w:tbl>
    <w:p>
      <w:pPr>
        <w:spacing w:line="480" w:lineRule="auto" w:before="0" w:after="160"/>
        <w:jc w:val="both"/>
      </w:pPr>
      <w:r>
        <w:rPr>
          <w:i/>
          <w:sz w:val="24"/>
        </w:rPr>
        <w:t xml:space="preserve">Nota. </w:t>
      </w:r>
      <w:r>
        <w:rPr>
          <w:sz w:val="24"/>
        </w:rPr>
        <w:t>Elaboración propia a partir del modelo de amenazas T2. P × I = probabilidad por impacto; el residual es la proyección con el control de la Tabla 17 implementado y está pendiente de verificación con pruebas. La distribución por nivel está en las Figuras 5 y 6.</w:t>
      </w:r>
    </w:p>
    <w:p>
      <w:pPr>
        <w:pStyle w:val="Heading1"/>
        <w:keepNext/>
        <w:keepLines/>
        <w:pageBreakBefore/>
        <w:spacing w:before="0" w:after="160" w:line="480" w:lineRule="auto"/>
        <w:jc w:val="center"/>
        <w:outlineLvl w:val="0"/>
      </w:pPr>
      <w:r>
        <w:t>Referencias</w:t>
      </w:r>
    </w:p>
    <w:p>
      <w:pPr>
        <w:spacing w:before="0" w:after="160" w:line="480" w:lineRule="auto"/>
        <w:ind w:left="720" w:hanging="720"/>
      </w:pPr>
      <w:r>
        <w:rPr>
          <w:i w:val="false"/>
          <w:iCs w:val="false"/>
        </w:rPr>
        <w:t xml:space="preserve">Amazon Web Services. (s. f.-a). </w:t>
      </w:r>
      <w:r>
        <w:rPr>
          <w:i/>
          <w:iCs/>
        </w:rPr>
        <w:t xml:space="preserve">Guatemala: Financial services compliance center</w:t>
      </w:r>
      <w:r>
        <w:rPr>
          <w:i w:val="false"/>
          <w:iCs w:val="false"/>
        </w:rPr>
        <w:t xml:space="preserve">. Recuperado el 10 de octubre de 2026, de https://aws.amazon.com/financial-services/security-compliance/compliance-center/gt</w:t>
      </w:r>
    </w:p>
    <w:p>
      <w:pPr>
        <w:spacing w:before="0" w:after="160" w:line="480" w:lineRule="auto"/>
        <w:ind w:left="720" w:hanging="720"/>
      </w:pPr>
      <w:r>
        <w:rPr>
          <w:i w:val="false"/>
          <w:iCs w:val="false"/>
        </w:rPr>
        <w:t xml:space="preserve">Amazon Web Services. (s. f.-b). </w:t>
      </w:r>
      <w:r>
        <w:rPr>
          <w:i/>
          <w:iCs/>
        </w:rPr>
        <w:t xml:space="preserve">Penetration testing</w:t>
      </w:r>
      <w:r>
        <w:rPr>
          <w:i w:val="false"/>
          <w:iCs w:val="false"/>
        </w:rPr>
        <w:t xml:space="preserve">. Recuperado el 10 de octubre de 2026, de https://aws.amazon.com/security/penetration-testing/</w:t>
      </w:r>
    </w:p>
    <w:p>
      <w:pPr>
        <w:spacing w:before="0" w:after="160" w:line="480" w:lineRule="auto"/>
        <w:ind w:left="720" w:hanging="720"/>
      </w:pPr>
      <w:r>
        <w:rPr>
          <w:i w:val="false"/>
          <w:iCs w:val="false"/>
        </w:rPr>
        <w:t xml:space="preserve">Amazon Web Services. (s. f.-c). </w:t>
      </w:r>
      <w:r>
        <w:rPr>
          <w:i/>
          <w:iCs/>
        </w:rPr>
        <w:t xml:space="preserve">Shared responsibility model</w:t>
      </w:r>
      <w:r>
        <w:rPr>
          <w:i w:val="false"/>
          <w:iCs w:val="false"/>
        </w:rPr>
        <w:t xml:space="preserve">. https://aws.amazon.com/compliance/shared-responsibility-model/</w:t>
      </w:r>
    </w:p>
    <w:p>
      <w:pPr>
        <w:spacing w:before="0" w:after="160" w:line="480" w:lineRule="auto"/>
        <w:ind w:left="720" w:hanging="720"/>
      </w:pPr>
      <w:r>
        <w:rPr>
          <w:i w:val="false"/>
          <w:iCs w:val="false"/>
        </w:rPr>
        <w:t xml:space="preserve">Carrillo &amp; Asociados. (2025, 6 de noviembre). </w:t>
      </w:r>
      <w:r>
        <w:rPr>
          <w:i/>
          <w:iCs/>
        </w:rPr>
        <w:t xml:space="preserve">Nuevas disposiciones en pro de la seguridad tecnológica</w:t>
      </w:r>
      <w:r>
        <w:rPr>
          <w:i w:val="false"/>
          <w:iCs w:val="false"/>
        </w:rPr>
        <w:t xml:space="preserve"> (Boletín n.º 182). https://carrillolaw.com/en/2025/11/06/nuevas-disposiciones-en-pro-de-la-seguridad-tecnologica/</w:t>
      </w:r>
    </w:p>
    <w:p>
      <w:pPr>
        <w:spacing w:before="0" w:after="160" w:line="480" w:lineRule="auto"/>
        <w:ind w:left="720" w:hanging="720"/>
      </w:pPr>
      <w:r>
        <w:rPr>
          <w:i w:val="false"/>
          <w:iCs w:val="false"/>
        </w:rPr>
        <w:t xml:space="preserve">Center for Internet Security. (2024). </w:t>
      </w:r>
      <w:r>
        <w:rPr>
          <w:i/>
          <w:iCs/>
        </w:rPr>
        <w:t xml:space="preserve">CIS Docker Benchmark</w:t>
      </w:r>
      <w:r>
        <w:rPr>
          <w:i w:val="false"/>
          <w:iCs w:val="false"/>
        </w:rPr>
        <w:t xml:space="preserve"> (versión 1.7.0). https://www.cisecurity.org/benchmark/docker</w:t>
      </w:r>
    </w:p>
    <w:p>
      <w:pPr>
        <w:spacing w:before="0" w:after="160" w:line="480" w:lineRule="auto"/>
        <w:ind w:left="720" w:hanging="720"/>
      </w:pPr>
      <w:r>
        <w:rPr>
          <w:i w:val="false"/>
          <w:iCs w:val="false"/>
        </w:rPr>
        <w:t xml:space="preserve">Center for Internet Security. (2025). </w:t>
      </w:r>
      <w:r>
        <w:rPr>
          <w:i/>
          <w:iCs/>
        </w:rPr>
        <w:t xml:space="preserve">CIS Amazon Web Services Foundations Benchmark</w:t>
      </w:r>
      <w:r>
        <w:rPr>
          <w:i w:val="false"/>
          <w:iCs w:val="false"/>
        </w:rPr>
        <w:t xml:space="preserve"> (versión 5.0). https://www.cisecurity.org/benchmark/amazon_web_services</w:t>
      </w:r>
    </w:p>
    <w:p>
      <w:pPr>
        <w:spacing w:before="0" w:after="160" w:line="480" w:lineRule="auto"/>
        <w:ind w:left="720" w:hanging="720"/>
      </w:pPr>
      <w:r>
        <w:rPr>
          <w:i w:val="false"/>
          <w:iCs w:val="false"/>
        </w:rPr>
        <w:t xml:space="preserve">Congreso de la República de Guatemala. (2001). </w:t>
      </w:r>
      <w:r>
        <w:rPr>
          <w:i/>
          <w:iCs/>
        </w:rPr>
        <w:t xml:space="preserve">Decreto Número 67-2001: Ley contra el Lavado de Dinero u Otros Activos</w:t>
      </w:r>
      <w:r>
        <w:rPr>
          <w:i w:val="false"/>
          <w:iCs w:val="false"/>
        </w:rPr>
        <w:t xml:space="preserve">. Banco de Guatemala. https://pinfex.banguat.gob.gt/sites/default/files/banguat/leyes/2025/ley_contra_lavado_de_dinero.pdf</w:t>
      </w:r>
    </w:p>
    <w:p>
      <w:pPr>
        <w:spacing w:before="0" w:after="160" w:line="480" w:lineRule="auto"/>
        <w:ind w:left="720" w:hanging="720"/>
      </w:pPr>
      <w:r>
        <w:rPr>
          <w:i w:val="false"/>
          <w:iCs w:val="false"/>
        </w:rPr>
        <w:t xml:space="preserve">Congreso de la República de Guatemala. (2008). </w:t>
      </w:r>
      <w:r>
        <w:rPr>
          <w:i/>
          <w:iCs/>
        </w:rPr>
        <w:t xml:space="preserve">Decreto Número 57-2008: Ley de Acceso a la Información Pública</w:t>
      </w:r>
      <w:r>
        <w:rPr>
          <w:i w:val="false"/>
          <w:iCs w:val="false"/>
        </w:rPr>
        <w:t xml:space="preserve">. Secretaría contra la Violencia Sexual, Explotación y Trata de Personas. https://acceso.svet.gob.gt/wpsvet/wp-content/uploads/2026/02/DECRETO-57-2008-LEY-DE-ACCESO-A-LA-INFORMACION-PUBLICA.pdf</w:t>
      </w:r>
    </w:p>
    <w:p>
      <w:pPr>
        <w:spacing w:before="0" w:after="160" w:line="480" w:lineRule="auto"/>
        <w:ind w:left="720" w:hanging="720"/>
      </w:pPr>
      <w:r>
        <w:rPr>
          <w:i w:val="false"/>
          <w:iCs w:val="false"/>
        </w:rPr>
        <w:t xml:space="preserve">Emisoras Unidas. (2026, 16 de julio). </w:t>
      </w:r>
      <w:r>
        <w:rPr>
          <w:i/>
          <w:iCs/>
        </w:rPr>
        <w:t xml:space="preserve">Comisión de Asuntos de Seguridad analiza Iniciativa de Ley de Protección de Datos Personales</w:t>
      </w:r>
      <w:r>
        <w:rPr>
          <w:i w:val="false"/>
          <w:iCs w:val="false"/>
        </w:rPr>
        <w:t xml:space="preserve">. https://emisorasunidas.com/nacional/2026/07/16/comision-de-asuntos-de-seguridad-analiza-iniciativa-de-ley-de-proteccion-de-datos-personales/</w:t>
      </w:r>
    </w:p>
    <w:p>
      <w:pPr>
        <w:spacing w:before="0" w:after="160" w:line="480" w:lineRule="auto"/>
        <w:ind w:left="720" w:hanging="720"/>
      </w:pPr>
      <w:r>
        <w:rPr>
          <w:i w:val="false"/>
          <w:iCs w:val="false"/>
        </w:rPr>
        <w:t xml:space="preserve">Estrategia &amp; Negocios. (2025, 17 de julio). </w:t>
      </w:r>
      <w:r>
        <w:rPr>
          <w:i/>
          <w:iCs/>
        </w:rPr>
        <w:t xml:space="preserve">Ranking de bancarización de los países de Centroamérica, según el informe Global Findex</w:t>
      </w:r>
      <w:r>
        <w:rPr>
          <w:i w:val="false"/>
          <w:iCs w:val="false"/>
        </w:rPr>
        <w:t xml:space="preserve">. https://www.revistaeyn.com/finanzas/ranking-de-bancarizacion-de-los-paises-de-centroamerica-segun-el-informe-global-findex-OG26642185</w:t>
      </w:r>
    </w:p>
    <w:p>
      <w:pPr>
        <w:spacing w:before="0" w:after="160" w:line="480" w:lineRule="auto"/>
        <w:ind w:left="720" w:hanging="720"/>
      </w:pPr>
      <w:r>
        <w:rPr>
          <w:i w:val="false"/>
          <w:iCs w:val="false"/>
        </w:rPr>
        <w:t xml:space="preserve">Finnovista, Banco Interamericano de Desarrollo y BID Invest. (2024). </w:t>
      </w:r>
      <w:r>
        <w:rPr>
          <w:i/>
          <w:iCs/>
        </w:rPr>
        <w:t xml:space="preserve">Fintech en América Latina y el Caribe: Un ecosistema consolidado con potencial para aportar a la inclusión financiera regional</w:t>
      </w:r>
      <w:r>
        <w:rPr>
          <w:i w:val="false"/>
          <w:iCs w:val="false"/>
        </w:rPr>
        <w:t xml:space="preserve"> (Monografía del BID n.º 1220). Banco Interamericano de Desarrollo. https://publications.iadb.org/publications/spanish/document/Fintech-en-America-Latina-y-el-Caribe-un-ecosistema-consolidado-con-potencial-para-aportar-a-la-inclusion-fianciera-regional.pdf</w:t>
      </w:r>
    </w:p>
    <w:p>
      <w:pPr>
        <w:spacing w:before="0" w:after="160" w:line="480" w:lineRule="auto"/>
        <w:ind w:left="720" w:hanging="720"/>
      </w:pPr>
      <w:r>
        <w:rPr>
          <w:i w:val="false"/>
          <w:iCs w:val="false"/>
        </w:rPr>
        <w:t xml:space="preserve">Howard, M. y LeBlanc, D. (2003). </w:t>
      </w:r>
      <w:r>
        <w:rPr>
          <w:i/>
          <w:iCs/>
        </w:rPr>
        <w:t xml:space="preserve">Writing secure code</w:t>
      </w:r>
      <w:r>
        <w:rPr>
          <w:i w:val="false"/>
          <w:iCs w:val="false"/>
        </w:rPr>
        <w:t xml:space="preserve"> (2.ª ed.). Microsoft Press.</w:t>
      </w:r>
    </w:p>
    <w:p>
      <w:pPr>
        <w:spacing w:before="0" w:after="160" w:line="480" w:lineRule="auto"/>
        <w:ind w:left="720" w:hanging="720"/>
      </w:pPr>
      <w:r>
        <w:rPr>
          <w:i w:val="false"/>
          <w:iCs w:val="false"/>
        </w:rPr>
        <w:t xml:space="preserve">International Organization for Standardization e International Electrotechnical Commission. (2022a). </w:t>
      </w:r>
      <w:r>
        <w:rPr>
          <w:i/>
          <w:iCs/>
        </w:rPr>
        <w:t xml:space="preserve">Information security, cybersecurity and privacy protection — Information security management systems — Requirements</w:t>
      </w:r>
      <w:r>
        <w:rPr>
          <w:i w:val="false"/>
          <w:iCs w:val="false"/>
        </w:rPr>
        <w:t xml:space="preserve"> (ISO/IEC 27001:2022). https://www.iso.org/standard/27001</w:t>
      </w:r>
    </w:p>
    <w:p>
      <w:pPr>
        <w:spacing w:before="0" w:after="160" w:line="480" w:lineRule="auto"/>
        <w:ind w:left="720" w:hanging="720"/>
      </w:pPr>
      <w:r>
        <w:rPr>
          <w:i w:val="false"/>
          <w:iCs w:val="false"/>
        </w:rPr>
        <w:t xml:space="preserve">International Organization for Standardization e International Electrotechnical Commission. (2022b). </w:t>
      </w:r>
      <w:r>
        <w:rPr>
          <w:i/>
          <w:iCs/>
        </w:rPr>
        <w:t xml:space="preserve">Information security, cybersecurity and privacy protection — Guidance on managing information security risks</w:t>
      </w:r>
      <w:r>
        <w:rPr>
          <w:i w:val="false"/>
          <w:iCs w:val="false"/>
        </w:rPr>
        <w:t xml:space="preserve"> (ISO/IEC 27005:2022). https://www.iso.org/standard/80585.html</w:t>
      </w:r>
    </w:p>
    <w:p>
      <w:pPr>
        <w:spacing w:before="0" w:after="160" w:line="480" w:lineRule="auto"/>
        <w:ind w:left="720" w:hanging="720"/>
      </w:pPr>
      <w:r>
        <w:rPr>
          <w:i w:val="false"/>
          <w:iCs w:val="false"/>
        </w:rPr>
        <w:t xml:space="preserve">Joint Task Force Transformation Initiative. (2012). </w:t>
      </w:r>
      <w:r>
        <w:rPr>
          <w:i/>
          <w:iCs/>
        </w:rPr>
        <w:t xml:space="preserve">Guide for conducting risk assessments</w:t>
      </w:r>
      <w:r>
        <w:rPr>
          <w:i w:val="false"/>
          <w:iCs w:val="false"/>
        </w:rPr>
        <w:t xml:space="preserve"> (NIST SP 800-30 Rev. 1). National Institute of Standards and Technology. https://doi.org/10.6028/NIST.SP.800-30r1</w:t>
      </w:r>
    </w:p>
    <w:p>
      <w:pPr>
        <w:spacing w:before="0" w:after="160" w:line="480" w:lineRule="auto"/>
        <w:ind w:left="720" w:hanging="720"/>
      </w:pPr>
      <w:r>
        <w:rPr>
          <w:i w:val="false"/>
          <w:iCs w:val="false"/>
        </w:rPr>
        <w:t xml:space="preserve">National Institute of Standards and Technology. (2024). </w:t>
      </w:r>
      <w:r>
        <w:rPr>
          <w:i/>
          <w:iCs/>
        </w:rPr>
        <w:t xml:space="preserve">The NIST Cybersecurity Framework (CSF) 2.0</w:t>
      </w:r>
      <w:r>
        <w:rPr>
          <w:i w:val="false"/>
          <w:iCs w:val="false"/>
        </w:rPr>
        <w:t xml:space="preserve"> (NIST CSWP 29). https://doi.org/10.6028/NIST.CSWP.29</w:t>
      </w:r>
    </w:p>
    <w:p>
      <w:pPr>
        <w:spacing w:before="0" w:after="160" w:line="480" w:lineRule="auto"/>
        <w:ind w:left="720" w:hanging="720"/>
      </w:pPr>
      <w:r>
        <w:rPr>
          <w:i w:val="false"/>
          <w:iCs w:val="false"/>
        </w:rPr>
        <w:t xml:space="preserve">OWASP Foundation. (s. f.). </w:t>
      </w:r>
      <w:r>
        <w:rPr>
          <w:i/>
          <w:iCs/>
        </w:rPr>
        <w:t xml:space="preserve">OWASP Web Security Testing Guide (WSTG)</w:t>
      </w:r>
      <w:r>
        <w:rPr>
          <w:i w:val="false"/>
          <w:iCs w:val="false"/>
        </w:rPr>
        <w:t xml:space="preserve">. https://owasp.org/www-project-web-security-testing-guide/</w:t>
      </w:r>
    </w:p>
    <w:p>
      <w:pPr>
        <w:spacing w:before="0" w:after="160" w:line="480" w:lineRule="auto"/>
        <w:ind w:left="720" w:hanging="720"/>
      </w:pPr>
      <w:r>
        <w:rPr>
          <w:i w:val="false"/>
          <w:iCs w:val="false"/>
        </w:rPr>
        <w:t xml:space="preserve">OWASP Foundation. (2023). </w:t>
      </w:r>
      <w:r>
        <w:rPr>
          <w:i/>
          <w:iCs/>
        </w:rPr>
        <w:t xml:space="preserve">OWASP API Security Top 10 2023</w:t>
      </w:r>
      <w:r>
        <w:rPr>
          <w:i w:val="false"/>
          <w:iCs w:val="false"/>
        </w:rPr>
        <w:t xml:space="preserve">. https://owasp.org/API-Security/editions/2023/en/0x11-t10/</w:t>
      </w:r>
    </w:p>
    <w:p>
      <w:pPr>
        <w:spacing w:before="0" w:after="160" w:line="480" w:lineRule="auto"/>
        <w:ind w:left="720" w:hanging="720"/>
      </w:pPr>
      <w:r>
        <w:rPr>
          <w:i w:val="false"/>
          <w:iCs w:val="false"/>
        </w:rPr>
        <w:t xml:space="preserve">OWASP Foundation. (2024). </w:t>
      </w:r>
      <w:r>
        <w:rPr>
          <w:i/>
          <w:iCs/>
        </w:rPr>
        <w:t xml:space="preserve">OWASP Threat Dragon</w:t>
      </w:r>
      <w:r>
        <w:rPr>
          <w:i w:val="false"/>
          <w:iCs w:val="false"/>
        </w:rPr>
        <w:t xml:space="preserve">. https://owasp.org/www-project-threat-dragon/</w:t>
      </w:r>
    </w:p>
    <w:p>
      <w:pPr>
        <w:spacing w:before="0" w:after="160" w:line="480" w:lineRule="auto"/>
        <w:ind w:left="720" w:hanging="720"/>
      </w:pPr>
      <w:r>
        <w:rPr>
          <w:i w:val="false"/>
          <w:iCs w:val="false"/>
        </w:rPr>
        <w:t xml:space="preserve">OWASP Foundation. (2025). </w:t>
      </w:r>
      <w:r>
        <w:rPr>
          <w:i/>
          <w:iCs/>
        </w:rPr>
        <w:t xml:space="preserve">OWASP Top 10:2025</w:t>
      </w:r>
      <w:r>
        <w:rPr>
          <w:i w:val="false"/>
          <w:iCs w:val="false"/>
        </w:rPr>
        <w:t xml:space="preserve">. https://owasp.org/Top10/2025/</w:t>
      </w:r>
    </w:p>
    <w:p>
      <w:pPr>
        <w:spacing w:before="0" w:after="160" w:line="480" w:lineRule="auto"/>
        <w:ind w:left="720" w:hanging="720"/>
      </w:pPr>
      <w:r>
        <w:rPr>
          <w:i w:val="false"/>
          <w:iCs w:val="false"/>
        </w:rPr>
        <w:t xml:space="preserve">OWASP Mobile Application Security Project. (2024). </w:t>
      </w:r>
      <w:r>
        <w:rPr>
          <w:i/>
          <w:iCs/>
        </w:rPr>
        <w:t xml:space="preserve">OWASP Mobile Application Security Verification Standard (MASVS)</w:t>
      </w:r>
      <w:r>
        <w:rPr>
          <w:i w:val="false"/>
          <w:iCs w:val="false"/>
        </w:rPr>
        <w:t xml:space="preserve"> (versión 2.1.0). https://mas.owasp.org/MASVS/</w:t>
      </w:r>
    </w:p>
    <w:p>
      <w:pPr>
        <w:spacing w:before="0" w:after="160" w:line="480" w:lineRule="auto"/>
        <w:ind w:left="720" w:hanging="720"/>
      </w:pPr>
      <w:r>
        <w:rPr>
          <w:i w:val="false"/>
          <w:iCs w:val="false"/>
        </w:rPr>
        <w:t xml:space="preserve">PCI Security Standards Council. (2024). </w:t>
      </w:r>
      <w:r>
        <w:rPr>
          <w:i/>
          <w:iCs/>
        </w:rPr>
        <w:t xml:space="preserve">Payment Card Industry Data Security Standard</w:t>
      </w:r>
      <w:r>
        <w:rPr>
          <w:i w:val="false"/>
          <w:iCs w:val="false"/>
        </w:rPr>
        <w:t xml:space="preserve"> (versión 4.0.1). https://www.pcisecuritystandards.org/</w:t>
      </w:r>
    </w:p>
    <w:p>
      <w:pPr>
        <w:spacing w:before="0" w:after="160" w:line="480" w:lineRule="auto"/>
        <w:ind w:left="720" w:hanging="720"/>
      </w:pPr>
      <w:r>
        <w:rPr>
          <w:i w:val="false"/>
          <w:iCs w:val="false"/>
        </w:rPr>
        <w:t xml:space="preserve">Scarfone, K., Souppaya, M., Cody, A. y Orebaugh, A. (2008). </w:t>
      </w:r>
      <w:r>
        <w:rPr>
          <w:i/>
          <w:iCs/>
        </w:rPr>
        <w:t xml:space="preserve">Technical guide to information security testing and assessment</w:t>
      </w:r>
      <w:r>
        <w:rPr>
          <w:i w:val="false"/>
          <w:iCs w:val="false"/>
        </w:rPr>
        <w:t xml:space="preserve"> (NIST SP 800-115). National Institute of Standards and Technology. https://doi.org/10.6028/NIST.SP.800-115</w:t>
      </w:r>
    </w:p>
    <w:p>
      <w:pPr>
        <w:spacing w:before="0" w:after="160" w:line="480" w:lineRule="auto"/>
        <w:ind w:left="720" w:hanging="720"/>
      </w:pPr>
      <w:r>
        <w:rPr>
          <w:i w:val="false"/>
          <w:iCs w:val="false"/>
        </w:rPr>
        <w:t xml:space="preserve">Shostack, A. (2014). </w:t>
      </w:r>
      <w:r>
        <w:rPr>
          <w:i/>
          <w:iCs/>
        </w:rPr>
        <w:t xml:space="preserve">Threat modeling: Designing for security</w:t>
      </w:r>
      <w:r>
        <w:rPr>
          <w:i w:val="false"/>
          <w:iCs w:val="false"/>
        </w:rPr>
        <w:t xml:space="preserve">. Wiley.</w:t>
      </w:r>
    </w:p>
    <w:sectPr>
      <w:headerReference w:type="default" r:id="rId7"/>
      <w:pgSz w:w="12240" w:h="15840" w:orient="portrait"/>
      <w:pgMar w:top="1440" w:right="1440" w:bottom="1440" w:left="144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nsid w:val="014CA801"/>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eastAsia="Times New Roman" w:cs="Times New Roman"/>
      </w:rPr>
    </w:lvl>
  </w:abstractNum>
  <w:num w:numId="2">
    <w:abstractNumId w:val="2"/>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before="0" w:line="480" w:lineRule="auto"/>
      </w:pPr>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160" w:line="480" w:lineRule="auto" w:before="0"/>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160" w:line="480" w:lineRule="auto" w:before="0"/>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tabs>
        <w:tab w:val="right" w:pos="9360" w:leader="dot"/>
      </w:tabs>
    </w:pPr>
    <w:rPr>
      <w:rFonts w:ascii="Times New Roman" w:cs="Times New Roman" w:eastAsia="Times New Roman" w:hAnsi="Times New Roman"/>
      <w:sz w:val="24"/>
      <w:szCs w:val="24"/>
    </w:rPr>
  </w:style>
  <w:style w:type="paragraph" w:styleId="TOC2">
    <w:name w:val="toc 2"/>
    <w:basedOn w:val="Normal"/>
    <w:next w:val="Normal"/>
    <w:pPr>
      <w:tabs>
        <w:tab w:val="right" w:pos="9360" w:leader="dot"/>
      </w:tabs>
      <w:ind w:left="360"/>
    </w:pPr>
    <w:rPr>
      <w:rFonts w:ascii="Times New Roman" w:cs="Times New Roman" w:eastAsia="Times New Roman" w:hAnsi="Times New Roman"/>
      <w:sz w:val="24"/>
      <w:szCs w:val="24"/>
    </w:rPr>
  </w:style>
  <w:style w:type="paragraph" w:styleId="TOC3">
    <w:name w:val="toc 3"/>
    <w:basedOn w:val="Normal"/>
    <w:next w:val="Normal"/>
    <w:pPr>
      <w:tabs>
        <w:tab w:val="right" w:pos="9360" w:leader="dot"/>
      </w:tabs>
      <w:ind w:left="720"/>
    </w:pPr>
    <w:rPr>
      <w:rFonts w:ascii="Times New Roman" w:cs="Times New Roman" w:eastAsia="Times New Roman" w:hAnsi="Times New Roman"/>
      <w:sz w:val="24"/>
      <w:szCs w:val="24"/>
    </w:rPr>
  </w:style>
  <w:style w:type="paragraph" w:styleId="ListBullet">
    <w:name w:val="List Bullet"/>
    <w:basedOn w:val="Normal"/>
    <w:uiPriority w:val="99"/>
    <w:unhideWhenUsed/>
    <w:rsid w:val="00326F90"/>
    <w:pPr>
      <w:numPr>
        <w:numId w:val="2"/>
      </w:numPr>
      <w:contextualSpacing/>
    </w:pPr>
  </w:style>
  <w:style w:type="paragraph" w:styleId="Heading1">
    <w:name w:val="heading 1"/>
    <w:basedOn w:val="Normal"/>
    <w:next w:val="Normal"/>
    <w:uiPriority w:val="9"/>
    <w:qFormat/>
    <w:pPr>
      <w:keepNext/>
      <w:keepLines/>
      <w:spacing w:before="0" w:after="160" w:line="480" w:lineRule="auto"/>
      <w:jc w:val="center"/>
      <w:outlineLvl w:val="0"/>
    </w:pPr>
    <w:rPr>
      <w:rFonts w:ascii="Times New Roman" w:hAnsi="Times New Roman" w:cs="Times New Roman" w:eastAsia="Times New Roman"/>
      <w:b/>
      <w:bCs/>
      <w:i w:val="0"/>
      <w:iCs w:val="0"/>
      <w:color w:val="000000"/>
      <w:sz w:val="24"/>
      <w:szCs w:val="24"/>
    </w:rPr>
  </w:style>
  <w:style w:type="paragraph" w:styleId="Heading2">
    <w:name w:val="heading 2"/>
    <w:basedOn w:val="Normal"/>
    <w:next w:val="Normal"/>
    <w:uiPriority w:val="9"/>
    <w:qFormat/>
    <w:pPr>
      <w:keepNext/>
      <w:keepLines/>
      <w:spacing w:before="0" w:after="160" w:line="480" w:lineRule="auto"/>
      <w:jc w:val="left"/>
      <w:outlineLvl w:val="1"/>
    </w:pPr>
    <w:rPr>
      <w:rFonts w:ascii="Times New Roman" w:hAnsi="Times New Roman" w:cs="Times New Roman" w:eastAsia="Times New Roman"/>
      <w:b/>
      <w:bCs/>
      <w:i w:val="0"/>
      <w:iCs w:val="0"/>
      <w:color w:val="000000"/>
      <w:sz w:val="24"/>
      <w:szCs w:val="24"/>
    </w:rPr>
  </w:style>
  <w:style w:type="paragraph" w:styleId="Heading3">
    <w:name w:val="heading 3"/>
    <w:basedOn w:val="Normal"/>
    <w:next w:val="Normal"/>
    <w:uiPriority w:val="9"/>
    <w:qFormat/>
    <w:pPr>
      <w:keepNext/>
      <w:keepLines/>
      <w:spacing w:before="0" w:after="160" w:line="480" w:lineRule="auto"/>
      <w:jc w:val="left"/>
      <w:outlineLvl w:val="2"/>
    </w:pPr>
    <w:rPr>
      <w:rFonts w:ascii="Times New Roman" w:hAnsi="Times New Roman" w:cs="Times New Roman" w:eastAsia="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Grupo Q-Wallet</dc:creator>
  <cp:lastModifiedBy>Un-named</cp:lastModifiedBy>
  <cp:revision>1</cp:revision>
  <dcterms:created xsi:type="dcterms:W3CDTF">2026-10-14T03:11:59.349Z</dcterms:created>
  <dcterms:modified xsi:type="dcterms:W3CDTF">2026-10-14T03:11:59.355Z</dcterms:modified>
  <dc:title>Q-Wallet: Entrega 1 — Selección y Planificación; Activos y Riesgos</dc:title>
</cp:coreProperties>
</file>

<file path=docProps/custom.xml><?xml version="1.0" encoding="utf-8"?>
<Properties xmlns="http://schemas.openxmlformats.org/officeDocument/2006/custom-properties" xmlns:vt="http://schemas.openxmlformats.org/officeDocument/2006/docPropsVTypes"/>
</file>