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60" w:line="360" w:lineRule="auto"/>
      </w:pPr>
      <w:r>
        <w:t>4. Mitigación y ciberseguridad</w:t>
      </w:r>
    </w:p>
    <w:p>
      <w:pPr>
        <w:pStyle w:val="Heading2"/>
        <w:spacing w:before="0" w:after="160" w:line="360" w:lineRule="auto"/>
      </w:pPr>
      <w:r>
        <w:t>4.1 Rediseño arquitectónico cloud seguro</w:t>
      </w:r>
    </w:p>
    <w:p>
      <w:pPr>
        <w:spacing w:before="0" w:after="160" w:line="360" w:lineRule="auto"/>
        <w:ind w:firstLine="720"/>
        <w:jc w:val="both"/>
      </w:pPr>
      <w:r>
        <w:rPr>
          <w:i w:val="0"/>
          <w:sz w:val="24"/>
        </w:rPr>
        <w:t>Como Q-Wallet se diseñó segura desde el inicio, el rediseño no corrige una versión vulnerable: fija la arquitectura definitiva que planteamos en la sección 1.5 y la convierte en infraestructura como código. Escribimos toda la arquitectura en Terraform (carpeta infra del repositorio) y la desplegamos en la región us-east-1 desde GitHub Actions, sin llaves de acceso guardadas. Así, lo que describe esta sección es lo mismo que existe en la cuenta de AWS y lo mismo que revisa Checkov en la sección 4.5.</w:t>
      </w:r>
    </w:p>
    <w:p>
      <w:pPr>
        <w:pStyle w:val="Heading3"/>
        <w:spacing w:before="0" w:after="160" w:line="360" w:lineRule="auto"/>
      </w:pPr>
      <w:r>
        <w:t>4.1.1 Flujo de datos del cliente a la base de datos</w:t>
      </w:r>
    </w:p>
    <w:p>
      <w:pPr>
        <w:spacing w:before="0" w:after="160" w:line="360" w:lineRule="auto"/>
        <w:ind w:firstLine="720"/>
        <w:jc w:val="both"/>
      </w:pPr>
      <w:r>
        <w:rPr>
          <w:i w:val="0"/>
          <w:sz w:val="24"/>
        </w:rPr>
        <w:t>La Figura 7 muestra el recorrido de una solicitud desde la app Android hasta DynamoDB. Las flechas verdes son datos del usuario y las azules punteadas son verificaciones que hace la plataforma. Las zonas punteadas son las fronteras de confianza TB1 a TB6 de la sección 1.5. La Tabla 24 describe cada paso numerado y el control que lo protege.</w:t>
      </w:r>
    </w:p>
    <w:p>
      <w:pPr>
        <w:spacing w:before="0" w:after="160" w:line="360" w:lineRule="auto"/>
        <w:sectPr>
          <w:headerReference w:type="default" r:id="rId7"/>
          <w:pgSz w:w="12240" w:h="15840"/>
          <w:pgMar w:top="1440" w:right="1440" w:bottom="1440" w:left="1440" w:header="708" w:footer="708" w:gutter="0"/>
          <w:docGrid w:linePitch="360"/>
        </w:sectPr>
      </w:pPr>
    </w:p>
    <w:p>
      <w:pPr>
        <w:keepNext/>
        <w:spacing w:before="0" w:after="160" w:line="360" w:lineRule="auto"/>
      </w:pPr>
      <w:r>
        <w:rPr>
          <w:b/>
          <w:sz w:val="24"/>
        </w:rPr>
        <w:t>Figura 7</w:t>
      </w:r>
    </w:p>
    <w:p>
      <w:pPr>
        <w:keepNext/>
        <w:spacing w:before="0" w:after="160" w:line="360" w:lineRule="auto"/>
      </w:pPr>
      <w:r>
        <w:rPr>
          <w:i/>
          <w:sz w:val="24"/>
        </w:rPr>
        <w:t>Arquitectura de seguridad cloud de Q-Wallet con el flujo de datos numerado</w:t>
      </w:r>
    </w:p>
    <w:p>
      <w:pPr>
        <w:keepNext/>
        <w:spacing w:before="0" w:after="160" w:line="360" w:lineRule="auto"/>
        <w:jc w:val="center"/>
      </w:pPr>
      <w:r>
        <w:drawing>
          <wp:inline xmlns:a="http://schemas.openxmlformats.org/drawingml/2006/main" xmlns:pic="http://schemas.openxmlformats.org/drawingml/2006/picture">
            <wp:extent cx="6583680" cy="4032504"/>
            <wp:docPr id="1" name="Picture 1"/>
            <wp:cNvGraphicFramePr>
              <a:graphicFrameLocks noChangeAspect="1"/>
            </wp:cNvGraphicFramePr>
            <a:graphic>
              <a:graphicData uri="http://schemas.openxmlformats.org/drawingml/2006/picture">
                <pic:pic>
                  <pic:nvPicPr>
                    <pic:cNvPr id="0" name="EVD-3-08_arquitectura_flujo_datos.png"/>
                    <pic:cNvPicPr/>
                  </pic:nvPicPr>
                  <pic:blipFill>
                    <a:blip r:embed="rId15"/>
                    <a:stretch>
                      <a:fillRect/>
                    </a:stretch>
                  </pic:blipFill>
                  <pic:spPr>
                    <a:xfrm>
                      <a:off x="0" y="0"/>
                      <a:ext cx="6583680" cy="4032504"/>
                    </a:xfrm>
                    <a:prstGeom prst="rect"/>
                  </pic:spPr>
                </pic:pic>
              </a:graphicData>
            </a:graphic>
          </wp:inline>
        </w:drawing>
      </w:r>
    </w:p>
    <w:p>
      <w:pPr>
        <w:spacing w:before="0" w:after="160" w:line="360" w:lineRule="auto"/>
        <w:jc w:val="both"/>
      </w:pPr>
      <w:r>
        <w:rPr>
          <w:i/>
          <w:sz w:val="24"/>
        </w:rPr>
        <w:t xml:space="preserve">Nota. </w:t>
      </w:r>
      <w:r>
        <w:rPr>
          <w:sz w:val="24"/>
        </w:rPr>
        <w:t>Elaboración propia a partir del Terraform del repositorio (carpeta infra). Las flechas verdes son datos del usuario; las azules punteadas, verificaciones de la plataforma; las grises, despliegue y registros. El WAF se enciende solo durante pruebas y capturas por costo.</w:t>
      </w:r>
    </w:p>
    <w:p>
      <w:pPr>
        <w:spacing w:before="0" w:after="160" w:line="360" w:lineRule="auto"/>
        <w:sectPr>
          <w:pgSz w:w="15840" w:h="12240" w:orient="landscape"/>
          <w:pgMar w:top="1440" w:right="1440" w:bottom="1440" w:left="1440" w:header="708" w:footer="708" w:gutter="0"/>
          <w:docGrid w:linePitch="360"/>
        </w:sectPr>
      </w:pPr>
    </w:p>
    <w:p>
      <w:pPr>
        <w:keepNext/>
        <w:spacing w:before="0" w:after="160" w:line="360" w:lineRule="auto"/>
      </w:pPr>
      <w:r>
        <w:rPr>
          <w:b/>
          <w:sz w:val="24"/>
        </w:rPr>
        <w:t>Tabla 24</w:t>
      </w:r>
    </w:p>
    <w:p>
      <w:pPr>
        <w:keepNext/>
        <w:spacing w:before="0" w:after="160" w:line="360" w:lineRule="auto"/>
      </w:pPr>
      <w:r>
        <w:rPr>
          <w:i/>
          <w:sz w:val="24"/>
        </w:rPr>
        <w:t>Pasos del flujo de datos y control aplicado en cada uno</w:t>
      </w:r>
    </w:p>
    <w:tbl>
      <w:tblPr>
        <w:tblW w:type="auto" w:w="0"/>
        <w:tblLayout w:type="fixed"/>
        <w:tblLook w:firstColumn="1" w:firstRow="1" w:lastColumn="0" w:lastRow="0" w:noHBand="0" w:noVBand="1" w:val="04A0"/>
        <w:tblLayout w:type="fixed"/>
      </w:tblPr>
      <w:tblGrid>
        <w:gridCol w:w="717"/>
        <w:gridCol w:w="1441"/>
        <w:gridCol w:w="1550"/>
        <w:gridCol w:w="4430"/>
        <w:gridCol w:w="1220"/>
      </w:tblGrid>
      <w:tr>
        <w:trPr>
          <w:cantSplit/>
          <w:tblHeader/>
        </w:trPr>
        <w:tc>
          <w:tcPr>
            <w:tcW w:type="dxa" w:w="718"/>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Paso</w:t>
            </w:r>
          </w:p>
        </w:tc>
        <w:tc>
          <w:tcPr>
            <w:tcW w:type="dxa" w:w="1441"/>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Origen → destino</w:t>
            </w:r>
          </w:p>
        </w:tc>
        <w:tc>
          <w:tcPr>
            <w:tcW w:type="dxa" w:w="1550"/>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Qué viaja</w:t>
            </w:r>
          </w:p>
        </w:tc>
        <w:tc>
          <w:tcPr>
            <w:tcW w:type="dxa" w:w="4431"/>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Cómo se protege</w:t>
            </w:r>
          </w:p>
        </w:tc>
        <w:tc>
          <w:tcPr>
            <w:tcW w:type="dxa" w:w="1220"/>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20"/>
              </w:rPr>
              <w:t>Control</w:t>
            </w:r>
          </w:p>
        </w:tc>
      </w:tr>
      <w:tr>
        <w:trPr>
          <w:cantSplit/>
        </w:trPr>
        <w:tc>
          <w:tcPr>
            <w:tcW w:type="dxa" w:w="71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1</w:t>
            </w:r>
          </w:p>
        </w:tc>
        <w:tc>
          <w:tcPr>
            <w:tcW w:type="dxa" w:w="14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App → Cognito</w:t>
            </w:r>
          </w:p>
        </w:tc>
        <w:tc>
          <w:tcPr>
            <w:tcW w:type="dxa" w:w="155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Usuario, contraseña y código TOTP</w:t>
            </w:r>
          </w:p>
        </w:tc>
        <w:tc>
          <w:tcPr>
            <w:tcW w:type="dxa" w:w="443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Login administrado de Cognito con OAuth2 código de autorización y PKCE; la app no ve la contraseña</w:t>
            </w:r>
          </w:p>
        </w:tc>
        <w:tc>
          <w:tcPr>
            <w:tcW w:type="dxa" w:w="122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CTRL‑18</w:t>
            </w:r>
          </w:p>
        </w:tc>
      </w:tr>
      <w:tr>
        <w:trPr>
          <w:cantSplit/>
        </w:trPr>
        <w:tc>
          <w:tcPr>
            <w:tcW w:type="dxa" w:w="71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2</w:t>
            </w:r>
          </w:p>
        </w:tc>
        <w:tc>
          <w:tcPr>
            <w:tcW w:type="dxa" w:w="14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Cognito → App</w:t>
            </w:r>
          </w:p>
        </w:tc>
        <w:tc>
          <w:tcPr>
            <w:tcW w:type="dxa" w:w="155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Access token (15 min), ID token y refresh token (12 h, con rotación)</w:t>
            </w:r>
          </w:p>
        </w:tc>
        <w:tc>
          <w:tcPr>
            <w:tcW w:type="dxa" w:w="443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Tokens firmados por Cognito; la app los guarda en el Keystore de Android</w:t>
            </w:r>
          </w:p>
        </w:tc>
        <w:tc>
          <w:tcPr>
            <w:tcW w:type="dxa" w:w="122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CTRL‑07, CTRL‑18</w:t>
            </w:r>
          </w:p>
        </w:tc>
      </w:tr>
      <w:tr>
        <w:trPr>
          <w:cantSplit/>
        </w:trPr>
        <w:tc>
          <w:tcPr>
            <w:tcW w:type="dxa" w:w="71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3</w:t>
            </w:r>
          </w:p>
        </w:tc>
        <w:tc>
          <w:tcPr>
            <w:tcW w:type="dxa" w:w="14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App → AWS WAF</w:t>
            </w:r>
          </w:p>
        </w:tc>
        <w:tc>
          <w:tcPr>
            <w:tcW w:type="dxa" w:w="155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Solicitud HTTPS con el access token</w:t>
            </w:r>
          </w:p>
        </w:tc>
        <w:tc>
          <w:tcPr>
            <w:tcW w:type="dxa" w:w="443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Solo TLS 1.3 y pinning de la llave pública; el WAF filtra ataques comunes y limita a 100 solicitudes por IP en 5 minutos</w:t>
            </w:r>
          </w:p>
        </w:tc>
        <w:tc>
          <w:tcPr>
            <w:tcW w:type="dxa" w:w="122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CTRL‑08, CTRL‑17</w:t>
            </w:r>
          </w:p>
        </w:tc>
      </w:tr>
      <w:tr>
        <w:trPr>
          <w:cantSplit/>
        </w:trPr>
        <w:tc>
          <w:tcPr>
            <w:tcW w:type="dxa" w:w="71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4</w:t>
            </w:r>
          </w:p>
        </w:tc>
        <w:tc>
          <w:tcPr>
            <w:tcW w:type="dxa" w:w="14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WAF → API Gateway</w:t>
            </w:r>
          </w:p>
        </w:tc>
        <w:tc>
          <w:tcPr>
            <w:tcW w:type="dxa" w:w="155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Solicitud permitida por el WAF</w:t>
            </w:r>
          </w:p>
        </w:tc>
        <w:tc>
          <w:tcPr>
            <w:tcW w:type="dxa" w:w="443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Política SecurityPolicy_TLS13_1_3_2025_09 en modo STRICT; validación de parámetros; throttling de 10 solicitudes por segundo y ráfaga de 20</w:t>
            </w:r>
          </w:p>
        </w:tc>
        <w:tc>
          <w:tcPr>
            <w:tcW w:type="dxa" w:w="122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CTRL‑05, CTRL‑08</w:t>
            </w:r>
          </w:p>
        </w:tc>
      </w:tr>
      <w:tr>
        <w:trPr>
          <w:cantSplit/>
        </w:trPr>
        <w:tc>
          <w:tcPr>
            <w:tcW w:type="dxa" w:w="71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5</w:t>
            </w:r>
          </w:p>
        </w:tc>
        <w:tc>
          <w:tcPr>
            <w:tcW w:type="dxa" w:w="14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API Gateway ↔ Cognito</w:t>
            </w:r>
          </w:p>
        </w:tc>
        <w:tc>
          <w:tcPr>
            <w:tcW w:type="dxa" w:w="155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Firma, vigencia y alcance del token</w:t>
            </w:r>
          </w:p>
        </w:tc>
        <w:tc>
          <w:tcPr>
            <w:tcW w:type="dxa" w:w="443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El authorizer rechaza con 401 todo token vencido, alterado o sin el alcance qwallet/api; las 18 rutas lo exigen</w:t>
            </w:r>
          </w:p>
        </w:tc>
        <w:tc>
          <w:tcPr>
            <w:tcW w:type="dxa" w:w="122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CTRL‑18</w:t>
            </w:r>
          </w:p>
        </w:tc>
      </w:tr>
      <w:tr>
        <w:trPr>
          <w:cantSplit/>
        </w:trPr>
        <w:tc>
          <w:tcPr>
            <w:tcW w:type="dxa" w:w="71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6</w:t>
            </w:r>
          </w:p>
        </w:tc>
        <w:tc>
          <w:tcPr>
            <w:tcW w:type="dxa" w:w="14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API Gateway → Lambda</w:t>
            </w:r>
          </w:p>
        </w:tc>
        <w:tc>
          <w:tcPr>
            <w:tcW w:type="dxa" w:w="155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Solicitud y claims del usuario (sub)</w:t>
            </w:r>
          </w:p>
        </w:tc>
        <w:tc>
          <w:tcPr>
            <w:tcW w:type="dxa" w:w="443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Invocación firmada por AWS; cada función acepta solo llamadas de la etapa v1 de esta API</w:t>
            </w:r>
          </w:p>
        </w:tc>
        <w:tc>
          <w:tcPr>
            <w:tcW w:type="dxa" w:w="122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CTRL‑12</w:t>
            </w:r>
          </w:p>
        </w:tc>
      </w:tr>
      <w:tr>
        <w:trPr>
          <w:cantSplit/>
        </w:trPr>
        <w:tc>
          <w:tcPr>
            <w:tcW w:type="dxa" w:w="71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7</w:t>
            </w:r>
          </w:p>
        </w:tc>
        <w:tc>
          <w:tcPr>
            <w:tcW w:type="dxa" w:w="14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Lambda → DynamoDB</w:t>
            </w:r>
          </w:p>
        </w:tc>
        <w:tc>
          <w:tcPr>
            <w:tcW w:type="dxa" w:w="155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Lectura o escritura de los datos del usuario</w:t>
            </w:r>
          </w:p>
        </w:tc>
        <w:tc>
          <w:tcPr>
            <w:tcW w:type="dxa" w:w="443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Rol IAM propio por función con acceso solo a sus tablas; el handler valida que el recurso pertenece al sub del token</w:t>
            </w:r>
          </w:p>
        </w:tc>
        <w:tc>
          <w:tcPr>
            <w:tcW w:type="dxa" w:w="122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CTRL‑01, CTRL‑12</w:t>
            </w:r>
          </w:p>
        </w:tc>
      </w:tr>
      <w:tr>
        <w:trPr>
          <w:cantSplit/>
        </w:trPr>
        <w:tc>
          <w:tcPr>
            <w:tcW w:type="dxa" w:w="71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8</w:t>
            </w:r>
          </w:p>
        </w:tc>
        <w:tc>
          <w:tcPr>
            <w:tcW w:type="dxa" w:w="144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DynamoDB ↔ KMS</w:t>
            </w:r>
          </w:p>
        </w:tc>
        <w:tc>
          <w:tcPr>
            <w:tcW w:type="dxa" w:w="155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Llave de datos de la tabla</w:t>
            </w:r>
          </w:p>
        </w:tc>
        <w:tc>
          <w:tcPr>
            <w:tcW w:type="dxa" w:w="443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Cifrado AES‑256 con la llave propia alias/qwallet‑datos; solo se usa a través de DynamoDB</w:t>
            </w:r>
          </w:p>
        </w:tc>
        <w:tc>
          <w:tcPr>
            <w:tcW w:type="dxa" w:w="122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20"/>
              </w:rPr>
              <w:t>CTRL‑19</w:t>
            </w:r>
          </w:p>
        </w:tc>
      </w:tr>
      <w:tr>
        <w:trPr>
          <w:cantSplit/>
        </w:trPr>
        <w:tc>
          <w:tcPr>
            <w:tcW w:type="dxa" w:w="718"/>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9</w:t>
            </w:r>
          </w:p>
        </w:tc>
        <w:tc>
          <w:tcPr>
            <w:tcW w:type="dxa" w:w="1441"/>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Lambda → SSM</w:t>
            </w:r>
          </w:p>
        </w:tc>
        <w:tc>
          <w:tcPr>
            <w:tcW w:type="dxa" w:w="1550"/>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Secretos del servicio</w:t>
            </w:r>
          </w:p>
        </w:tc>
        <w:tc>
          <w:tcPr>
            <w:tcW w:type="dxa" w:w="4431"/>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SecureString; cada función lee solo su ruta /qwallet/svc‑*/</w:t>
            </w:r>
          </w:p>
        </w:tc>
        <w:tc>
          <w:tcPr>
            <w:tcW w:type="dxa" w:w="1220"/>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20"/>
              </w:rPr>
              <w:t>CTRL‑16</w:t>
            </w:r>
          </w:p>
        </w:tc>
      </w:tr>
    </w:tbl>
    <w:p>
      <w:pPr>
        <w:spacing w:before="0" w:after="160" w:line="360" w:lineRule="auto"/>
        <w:jc w:val="both"/>
      </w:pPr>
      <w:r>
        <w:rPr>
          <w:i/>
          <w:sz w:val="24"/>
        </w:rPr>
        <w:t xml:space="preserve">Nota. </w:t>
      </w:r>
      <w:r>
        <w:rPr>
          <w:sz w:val="24"/>
        </w:rPr>
        <w:t>Elaboración propia. Los pasos 1 a 5 cruzan la frontera TB2 y los pasos 6 a 9, las fronteras TB3 y TB4 (sección 1.5, Tabla 8).</w:t>
      </w:r>
    </w:p>
    <w:p>
      <w:pPr>
        <w:pStyle w:val="Heading3"/>
        <w:spacing w:before="0" w:after="160" w:line="360" w:lineRule="auto"/>
      </w:pPr>
      <w:r>
        <w:t>4.1.2 Enfoque Zero Trust</w:t>
      </w:r>
    </w:p>
    <w:p>
      <w:pPr>
        <w:spacing w:before="0" w:after="160" w:line="360" w:lineRule="auto"/>
        <w:ind w:firstLine="720"/>
        <w:jc w:val="both"/>
      </w:pPr>
      <w:r>
        <w:rPr>
          <w:i w:val="0"/>
          <w:sz w:val="24"/>
        </w:rPr>
        <w:t>Seguimos el principio de confianza cero del NIST: ninguna solicitud se acepta por venir de una red “interna”; cada acceso se autentica y se autoriza por separado (Rose et al., 2020). En Q-Wallet esto se cumple en cuatro niveles. El usuario prueba su identidad con contraseña y MFA, y cada solicitud lleva un token de corta vida que API Gateway verifica. Cada servicio firma sus llamadas a AWS con su propio rol IAM, que solo alcanza sus tablas. Cada dato en reposo depende de una llave KMS cuyo uso también pasa por IAM. Y el despliegue entra a AWS con una identidad temporal de GitHub (OIDC) limitada al entorno dev y a la rama main.</w:t>
      </w:r>
    </w:p>
    <w:p>
      <w:pPr>
        <w:spacing w:before="0" w:after="160" w:line="360" w:lineRule="auto"/>
        <w:ind w:firstLine="720"/>
        <w:jc w:val="both"/>
      </w:pPr>
      <w:r>
        <w:rPr>
          <w:i w:val="0"/>
          <w:sz w:val="24"/>
        </w:rPr>
        <w:t>Por la misma razón, las Lambdas no están dentro de una VPC. Una VPC con salida a internet exigiría un NAT Gateway, que el presupuesto del proyecto prohíbe, y no agregaría seguridad real: las funciones solo hablan con servicios administrados por sus endpoints con TLS y con permisos IAM. La segmentación es lógica, por rol (capa 4 de la sección 2.5).</w:t>
      </w:r>
    </w:p>
    <w:p>
      <w:pPr>
        <w:pStyle w:val="Heading3"/>
        <w:spacing w:before="0" w:after="160" w:line="360" w:lineRule="auto"/>
      </w:pPr>
      <w:r>
        <w:t>4.1.3 Despliegue automatizado con identidad temporal</w:t>
      </w:r>
    </w:p>
    <w:p>
      <w:pPr>
        <w:spacing w:before="0" w:after="160" w:line="360" w:lineRule="auto"/>
        <w:ind w:firstLine="720"/>
        <w:jc w:val="both"/>
      </w:pPr>
      <w:r>
        <w:rPr>
          <w:i w:val="0"/>
          <w:sz w:val="24"/>
        </w:rPr>
        <w:t>La única configuración manual es un bootstrap que se corre una vez en AWS CloudShell (archivo infra/bootstrap/bootstrap.sh): crea el bucket del estado de Terraform, el proveedor OIDC de GitHub, un límite de permisos y dos roles. Todo lo demás lo crea Terraform desde GitHub Actions. La Tabla 25 resume los roles y por qué no pueden escalar privilegios. Además, el flujo se detiene si el plan de Terraform destruye o reemplaza un recurso que no esté aprobado en un archivo del repositorio; así un error en el código no borra datos. Esto atiende el plan de RSK-32 de la sección 2.5.5.</w:t>
      </w:r>
    </w:p>
    <w:p>
      <w:pPr>
        <w:keepNext/>
        <w:spacing w:before="0" w:after="160" w:line="360" w:lineRule="auto"/>
      </w:pPr>
      <w:r>
        <w:rPr>
          <w:b/>
          <w:sz w:val="24"/>
        </w:rPr>
        <w:t>Tabla 25</w:t>
      </w:r>
    </w:p>
    <w:p>
      <w:pPr>
        <w:keepNext/>
        <w:spacing w:before="0" w:after="160" w:line="360" w:lineRule="auto"/>
      </w:pPr>
      <w:r>
        <w:rPr>
          <w:i/>
          <w:sz w:val="24"/>
        </w:rPr>
        <w:t>Identidades de despliegue y sus límites</w:t>
      </w:r>
    </w:p>
    <w:tbl>
      <w:tblPr>
        <w:tblW w:type="auto" w:w="0"/>
        <w:tblLayout w:type="fixed"/>
        <w:tblLook w:firstColumn="1" w:firstRow="1" w:lastColumn="0" w:lastRow="0" w:noHBand="0" w:noVBand="1" w:val="04A0"/>
        <w:tblLayout w:type="fixed"/>
      </w:tblPr>
      <w:tblGrid>
        <w:gridCol w:w="2121"/>
        <w:gridCol w:w="1115"/>
        <w:gridCol w:w="3312"/>
        <w:gridCol w:w="1452"/>
        <w:gridCol w:w="1358"/>
      </w:tblGrid>
      <w:tr>
        <w:trPr>
          <w:cantSplit/>
          <w:tblHeader/>
        </w:trPr>
        <w:tc>
          <w:tcPr>
            <w:tcW w:type="dxa" w:w="2121"/>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Identidad</w:t>
            </w:r>
          </w:p>
        </w:tc>
        <w:tc>
          <w:tcPr>
            <w:tcW w:type="dxa" w:w="1116"/>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Quién la usa</w:t>
            </w:r>
          </w:p>
        </w:tc>
        <w:tc>
          <w:tcPr>
            <w:tcW w:type="dxa" w:w="3312"/>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Condición para asumirla</w:t>
            </w:r>
          </w:p>
        </w:tc>
        <w:tc>
          <w:tcPr>
            <w:tcW w:type="dxa" w:w="1452"/>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Qué puede hacer</w:t>
            </w:r>
          </w:p>
        </w:tc>
        <w:tc>
          <w:tcPr>
            <w:tcW w:type="dxa" w:w="1359"/>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Qué tiene prohibido</w:t>
            </w:r>
          </w:p>
        </w:tc>
      </w:tr>
      <w:tr>
        <w:trPr>
          <w:cantSplit/>
        </w:trPr>
        <w:tc>
          <w:tcPr>
            <w:tcW w:type="dxa" w:w="212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qwallet‑gha‑plan</w:t>
            </w:r>
          </w:p>
        </w:tc>
        <w:tc>
          <w:tcPr>
            <w:tcW w:type="dxa" w:w="111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GitHub Actions en cada pull request</w:t>
            </w:r>
          </w:p>
        </w:tc>
        <w:tc>
          <w:tcPr>
            <w:tcW w:type="dxa" w:w="331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Token OIDC del repositorio con sub repo:dbarrios95/q‑wallet:pull_request</w:t>
            </w:r>
          </w:p>
        </w:tc>
        <w:tc>
          <w:tcPr>
            <w:tcW w:type="dxa" w:w="145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Solo leer la configuración y el estado para calcular el plan</w:t>
            </w:r>
          </w:p>
        </w:tc>
        <w:tc>
          <w:tcPr>
            <w:tcW w:type="dxa" w:w="135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Escribir cualquier recurso; leer datos de las tablas</w:t>
            </w:r>
          </w:p>
        </w:tc>
      </w:tr>
      <w:tr>
        <w:trPr>
          <w:cantSplit/>
        </w:trPr>
        <w:tc>
          <w:tcPr>
            <w:tcW w:type="dxa" w:w="212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qwallet‑gha‑despliegue</w:t>
            </w:r>
          </w:p>
        </w:tc>
        <w:tc>
          <w:tcPr>
            <w:tcW w:type="dxa" w:w="111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GitHub Actions al hacer merge a main</w:t>
            </w:r>
          </w:p>
        </w:tc>
        <w:tc>
          <w:tcPr>
            <w:tcW w:type="dxa" w:w="331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Token OIDC con sub del entorno dev (el entorno solo acepta la rama main)</w:t>
            </w:r>
          </w:p>
        </w:tc>
        <w:tc>
          <w:tcPr>
            <w:tcW w:type="dxa" w:w="145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Crear y modificar recursos con prefijo qwallet; crear roles solo si llevan el límite de permisos</w:t>
            </w:r>
          </w:p>
        </w:tc>
        <w:tc>
          <w:tcPr>
            <w:tcW w:type="dxa" w:w="135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Borrar la llave KMS, tablas, user pool, buckets, trail o repositorios; detener CloudTrail; tocar los roles de GitHub o el límite</w:t>
            </w:r>
          </w:p>
        </w:tc>
      </w:tr>
      <w:tr>
        <w:trPr>
          <w:cantSplit/>
        </w:trPr>
        <w:tc>
          <w:tcPr>
            <w:tcW w:type="dxa" w:w="2121"/>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qwallet‑limite‑permisos</w:t>
            </w:r>
          </w:p>
        </w:tc>
        <w:tc>
          <w:tcPr>
            <w:tcW w:type="dxa" w:w="1116"/>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Todo rol que crea Terraform (Lambdas y API Gateway)</w:t>
            </w:r>
          </w:p>
        </w:tc>
        <w:tc>
          <w:tcPr>
            <w:tcW w:type="dxa" w:w="3312"/>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Se exige al crear el rol</w:t>
            </w:r>
          </w:p>
        </w:tc>
        <w:tc>
          <w:tcPr>
            <w:tcW w:type="dxa" w:w="1452"/>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Techo de permisos: tablas qwallet‑*, llave del proyecto, logs, SSM /qwallet/*</w:t>
            </w:r>
          </w:p>
        </w:tc>
        <w:tc>
          <w:tcPr>
            <w:tcW w:type="dxa" w:w="1359"/>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Todo lo demás, aunque una política lo permita</w:t>
            </w:r>
          </w:p>
        </w:tc>
      </w:tr>
    </w:tbl>
    <w:p>
      <w:pPr>
        <w:spacing w:before="0" w:after="160" w:line="360" w:lineRule="auto"/>
        <w:jc w:val="both"/>
      </w:pPr>
      <w:r>
        <w:rPr>
          <w:i/>
          <w:sz w:val="24"/>
        </w:rPr>
        <w:t xml:space="preserve">Nota. </w:t>
      </w:r>
      <w:r>
        <w:rPr>
          <w:sz w:val="24"/>
        </w:rPr>
        <w:t>Elaboración propia a partir de infra/bootstrap/politicas. El límite de permisos fija el máximo que puede tener un rol; un permiso solo vale si lo dan la política y el límite a la vez (Amazon Web Services [AWS], s. f.-d).</w:t>
      </w:r>
    </w:p>
    <w:p>
      <w:pPr>
        <w:pStyle w:val="Heading2"/>
        <w:spacing w:before="0" w:after="160" w:line="360" w:lineRule="auto"/>
      </w:pPr>
      <w:r>
        <w:t>4.2 Controles de seguridad propuestos</w:t>
      </w:r>
    </w:p>
    <w:p>
      <w:pPr>
        <w:spacing w:before="0" w:after="160" w:line="360" w:lineRule="auto"/>
        <w:ind w:firstLine="720"/>
        <w:jc w:val="both"/>
      </w:pPr>
      <w:r>
        <w:rPr>
          <w:i w:val="0"/>
          <w:sz w:val="24"/>
        </w:rPr>
        <w:t>Esta sección especifica los dos controles que pide la fase de diseño: el menor privilegio en los roles IAM y la estrategia de cifrado. Cierra con la matriz que une cada amenaza del modelo STRIDE con su requisito de seguridad y el control que lo cumple.</w:t>
      </w:r>
    </w:p>
    <w:p>
      <w:pPr>
        <w:pStyle w:val="Heading3"/>
        <w:spacing w:before="0" w:after="160" w:line="360" w:lineRule="auto"/>
      </w:pPr>
      <w:r>
        <w:t>4.2.1 Menor privilegio en roles IAM</w:t>
      </w:r>
    </w:p>
    <w:p>
      <w:pPr>
        <w:spacing w:before="0" w:after="160" w:line="360" w:lineRule="auto"/>
        <w:ind w:firstLine="720"/>
        <w:jc w:val="both"/>
      </w:pPr>
      <w:r>
        <w:rPr>
          <w:i w:val="0"/>
          <w:sz w:val="24"/>
        </w:rPr>
        <w:t>Cada microservicio tiene su propio rol IAM. Para que los permisos se puedan dar tabla por tabla, separamos los datos en ocho tablas de DynamoDB según su tipo, en lugar de una sola tabla compartida. La Tabla 26 muestra la matriz de acceso que aplica el Terraform (archivo infra/iam.tf): ninguna función tiene permiso de Scan, ninguna usa comodines de acción o de tabla, y svc-budgets no puede leer transferencias ni el PIN.</w:t>
      </w:r>
    </w:p>
    <w:p>
      <w:pPr>
        <w:keepNext/>
        <w:spacing w:before="0" w:after="160" w:line="360" w:lineRule="auto"/>
      </w:pPr>
      <w:r>
        <w:rPr>
          <w:b/>
          <w:sz w:val="24"/>
        </w:rPr>
        <w:t>Tabla 26</w:t>
      </w:r>
    </w:p>
    <w:p>
      <w:pPr>
        <w:keepNext/>
        <w:spacing w:before="0" w:after="160" w:line="360" w:lineRule="auto"/>
      </w:pPr>
      <w:r>
        <w:rPr>
          <w:i/>
          <w:sz w:val="24"/>
        </w:rPr>
        <w:t>Matriz de menor privilegio: acciones de cada rol de Lambda por tabla</w:t>
      </w:r>
    </w:p>
    <w:tbl>
      <w:tblPr>
        <w:tblW w:type="auto" w:w="0"/>
        <w:tblLayout w:type="fixed"/>
        <w:tblLook w:firstColumn="1" w:firstRow="1" w:lastColumn="0" w:lastRow="0" w:noHBand="0" w:noVBand="1" w:val="04A0"/>
        <w:tblLayout w:type="fixed"/>
      </w:tblPr>
      <w:tblGrid>
        <w:gridCol w:w="1592"/>
        <w:gridCol w:w="1469"/>
        <w:gridCol w:w="1555"/>
        <w:gridCol w:w="1891"/>
        <w:gridCol w:w="1506"/>
        <w:gridCol w:w="1345"/>
      </w:tblGrid>
      <w:tr>
        <w:trPr>
          <w:cantSplit/>
          <w:tblHeader/>
        </w:trPr>
        <w:tc>
          <w:tcPr>
            <w:tcW w:type="dxa" w:w="1592"/>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Tabla</w:t>
            </w:r>
          </w:p>
        </w:tc>
        <w:tc>
          <w:tcPr>
            <w:tcW w:type="dxa" w:w="1470"/>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svc‑profile</w:t>
            </w:r>
          </w:p>
        </w:tc>
        <w:tc>
          <w:tcPr>
            <w:tcW w:type="dxa" w:w="1555"/>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svc‑accounts</w:t>
            </w:r>
          </w:p>
        </w:tc>
        <w:tc>
          <w:tcPr>
            <w:tcW w:type="dxa" w:w="1891"/>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svc‑transfers</w:t>
            </w:r>
          </w:p>
        </w:tc>
        <w:tc>
          <w:tcPr>
            <w:tcW w:type="dxa" w:w="1507"/>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svc‑budgets</w:t>
            </w:r>
          </w:p>
        </w:tc>
        <w:tc>
          <w:tcPr>
            <w:tcW w:type="dxa" w:w="1345"/>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svc‑admin</w:t>
            </w:r>
          </w:p>
        </w:tc>
      </w:tr>
      <w:tr>
        <w:trPr>
          <w:cantSplit/>
        </w:trPr>
        <w:tc>
          <w:tcPr>
            <w:tcW w:type="dxa" w:w="159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perfiles</w:t>
            </w:r>
          </w:p>
        </w:tc>
        <w:tc>
          <w:tcPr>
            <w:tcW w:type="dxa" w:w="14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Get, Put, Update; Query en índice por‑telefono</w:t>
            </w:r>
          </w:p>
        </w:tc>
        <w:tc>
          <w:tcPr>
            <w:tcW w:type="dxa" w:w="155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89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Query en índice por‑telefono</w:t>
            </w:r>
          </w:p>
        </w:tc>
        <w:tc>
          <w:tcPr>
            <w:tcW w:type="dxa" w:w="15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34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r>
      <w:tr>
        <w:trPr>
          <w:cantSplit/>
        </w:trPr>
        <w:tc>
          <w:tcPr>
            <w:tcW w:type="dxa" w:w="159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pin</w:t>
            </w:r>
          </w:p>
        </w:tc>
        <w:tc>
          <w:tcPr>
            <w:tcW w:type="dxa" w:w="14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Put, Update</w:t>
            </w:r>
          </w:p>
        </w:tc>
        <w:tc>
          <w:tcPr>
            <w:tcW w:type="dxa" w:w="155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89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Get, Update</w:t>
            </w:r>
          </w:p>
        </w:tc>
        <w:tc>
          <w:tcPr>
            <w:tcW w:type="dxa" w:w="15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34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r>
      <w:tr>
        <w:trPr>
          <w:cantSplit/>
        </w:trPr>
        <w:tc>
          <w:tcPr>
            <w:tcW w:type="dxa" w:w="159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cuentas</w:t>
            </w:r>
          </w:p>
        </w:tc>
        <w:tc>
          <w:tcPr>
            <w:tcW w:type="dxa" w:w="14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55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Get, Query</w:t>
            </w:r>
          </w:p>
        </w:tc>
        <w:tc>
          <w:tcPr>
            <w:tcW w:type="dxa" w:w="189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Get, Query, Update, ConditionCheck</w:t>
            </w:r>
          </w:p>
        </w:tc>
        <w:tc>
          <w:tcPr>
            <w:tcW w:type="dxa" w:w="15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Query</w:t>
            </w:r>
          </w:p>
        </w:tc>
        <w:tc>
          <w:tcPr>
            <w:tcW w:type="dxa" w:w="134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r>
      <w:tr>
        <w:trPr>
          <w:cantSplit/>
        </w:trPr>
        <w:tc>
          <w:tcPr>
            <w:tcW w:type="dxa" w:w="159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movimientos</w:t>
            </w:r>
          </w:p>
        </w:tc>
        <w:tc>
          <w:tcPr>
            <w:tcW w:type="dxa" w:w="14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55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Query</w:t>
            </w:r>
          </w:p>
        </w:tc>
        <w:tc>
          <w:tcPr>
            <w:tcW w:type="dxa" w:w="189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Put</w:t>
            </w:r>
          </w:p>
        </w:tc>
        <w:tc>
          <w:tcPr>
            <w:tcW w:type="dxa" w:w="15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Query</w:t>
            </w:r>
          </w:p>
        </w:tc>
        <w:tc>
          <w:tcPr>
            <w:tcW w:type="dxa" w:w="134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r>
      <w:tr>
        <w:trPr>
          <w:cantSplit/>
        </w:trPr>
        <w:tc>
          <w:tcPr>
            <w:tcW w:type="dxa" w:w="159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transferencias</w:t>
            </w:r>
          </w:p>
        </w:tc>
        <w:tc>
          <w:tcPr>
            <w:tcW w:type="dxa" w:w="14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55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89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Get, Put</w:t>
            </w:r>
          </w:p>
        </w:tc>
        <w:tc>
          <w:tcPr>
            <w:tcW w:type="dxa" w:w="15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34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r>
      <w:tr>
        <w:trPr>
          <w:cantSplit/>
        </w:trPr>
        <w:tc>
          <w:tcPr>
            <w:tcW w:type="dxa" w:w="159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beneficiarios</w:t>
            </w:r>
          </w:p>
        </w:tc>
        <w:tc>
          <w:tcPr>
            <w:tcW w:type="dxa" w:w="14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55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89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Query, Put, Delete</w:t>
            </w:r>
          </w:p>
        </w:tc>
        <w:tc>
          <w:tcPr>
            <w:tcW w:type="dxa" w:w="15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34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r>
      <w:tr>
        <w:trPr>
          <w:cantSplit/>
        </w:trPr>
        <w:tc>
          <w:tcPr>
            <w:tcW w:type="dxa" w:w="159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presupuestos</w:t>
            </w:r>
          </w:p>
        </w:tc>
        <w:tc>
          <w:tcPr>
            <w:tcW w:type="dxa" w:w="14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55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89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5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Get, Query, Put, Update</w:t>
            </w:r>
          </w:p>
        </w:tc>
        <w:tc>
          <w:tcPr>
            <w:tcW w:type="dxa" w:w="134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r>
      <w:tr>
        <w:trPr>
          <w:cantSplit/>
        </w:trPr>
        <w:tc>
          <w:tcPr>
            <w:tcW w:type="dxa" w:w="1592"/>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auditoria</w:t>
            </w:r>
          </w:p>
        </w:tc>
        <w:tc>
          <w:tcPr>
            <w:tcW w:type="dxa" w:w="147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Put</w:t>
            </w:r>
          </w:p>
        </w:tc>
        <w:tc>
          <w:tcPr>
            <w:tcW w:type="dxa" w:w="155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89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Put</w:t>
            </w:r>
          </w:p>
        </w:tc>
        <w:tc>
          <w:tcPr>
            <w:tcW w:type="dxa" w:w="15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t>
            </w:r>
          </w:p>
        </w:tc>
        <w:tc>
          <w:tcPr>
            <w:tcW w:type="dxa" w:w="134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Query, Put</w:t>
            </w:r>
          </w:p>
        </w:tc>
      </w:tr>
      <w:tr>
        <w:trPr>
          <w:cantSplit/>
        </w:trPr>
        <w:tc>
          <w:tcPr>
            <w:tcW w:type="dxa" w:w="1592"/>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Otros</w:t>
            </w:r>
          </w:p>
        </w:tc>
        <w:tc>
          <w:tcPr>
            <w:tcW w:type="dxa" w:w="1470"/>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SSM propio, logs propios</w:t>
            </w:r>
          </w:p>
        </w:tc>
        <w:tc>
          <w:tcPr>
            <w:tcW w:type="dxa" w:w="1555"/>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SSM propio, logs propios</w:t>
            </w:r>
          </w:p>
        </w:tc>
        <w:tc>
          <w:tcPr>
            <w:tcW w:type="dxa" w:w="1891"/>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SSM propio, logs propios</w:t>
            </w:r>
          </w:p>
        </w:tc>
        <w:tc>
          <w:tcPr>
            <w:tcW w:type="dxa" w:w="1507"/>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SSM propio, logs propios</w:t>
            </w:r>
          </w:p>
        </w:tc>
        <w:tc>
          <w:tcPr>
            <w:tcW w:type="dxa" w:w="1345"/>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Cognito: listar, bloquear y cerrar sesión de usuarios</w:t>
            </w:r>
          </w:p>
        </w:tc>
      </w:tr>
    </w:tbl>
    <w:p>
      <w:pPr>
        <w:spacing w:before="0" w:after="160" w:line="360" w:lineRule="auto"/>
        <w:jc w:val="both"/>
      </w:pPr>
      <w:r>
        <w:rPr>
          <w:i/>
          <w:sz w:val="24"/>
        </w:rPr>
        <w:t xml:space="preserve">Nota. </w:t>
      </w:r>
      <w:r>
        <w:rPr>
          <w:sz w:val="24"/>
        </w:rPr>
        <w:t>Elaboración propia a partir de infra/iam.tf. Get, Put, Update, Delete y Query son las acciones GetItem, PutItem, UpdateItem, DeleteItem y Query de DynamoDB. Todas las funciones usan además la llave KMS solo a través de DynamoDB (condición kms:ViaService) y escriben trazas en X-Ray.</w:t>
      </w:r>
    </w:p>
    <w:p>
      <w:pPr>
        <w:spacing w:before="0" w:after="160" w:line="360" w:lineRule="auto"/>
        <w:ind w:firstLine="720"/>
        <w:jc w:val="both"/>
      </w:pPr>
      <w:r>
        <w:rPr>
          <w:i w:val="0"/>
          <w:sz w:val="24"/>
        </w:rPr>
        <w:t>El menor privilegio no queda solo escrito. Después de cada despliegue, el flujo automático consulta el simulador de políticas de IAM con cada rol contra cada tabla y guarda el resultado como evidencia EVD-3-11. [EVIDENCIA PENDIENTE: se genera en el primer despliegue.]</w:t>
      </w:r>
    </w:p>
    <w:p>
      <w:pPr>
        <w:pStyle w:val="Heading3"/>
        <w:spacing w:before="0" w:after="160" w:line="360" w:lineRule="auto"/>
      </w:pPr>
      <w:r>
        <w:t>4.2.2 Estrategia de cifrado</w:t>
      </w:r>
    </w:p>
    <w:p>
      <w:pPr>
        <w:spacing w:before="0" w:after="160" w:line="360" w:lineRule="auto"/>
        <w:ind w:firstLine="720"/>
        <w:jc w:val="both"/>
      </w:pPr>
      <w:r>
        <w:rPr>
          <w:i w:val="0"/>
          <w:sz w:val="24"/>
        </w:rPr>
        <w:t>En reposo, todos los datos de negocio se cifran con AES-256. DynamoDB usa cifrado de sobre: la llave raíz de cada tabla queda protegida por una llave de AWS KMS y los datos se cifran con AES-256 (AWS, s. f.-e). Usamos una llave propia (alias/qwallet-datos) de tipo SYMMETRIC_DEFAULT, que en AWS KMS corresponde a AES-256-GCM, con rotación automática cada 365 días (AWS, s. f.-f). La misma llave cifra los logs de CloudWatch, los registros de CloudTrail y las variables de entorno de las Lambdas.</w:t>
      </w:r>
    </w:p>
    <w:p>
      <w:pPr>
        <w:spacing w:before="0" w:after="160" w:line="360" w:lineRule="auto"/>
        <w:ind w:firstLine="720"/>
        <w:jc w:val="both"/>
      </w:pPr>
      <w:r>
        <w:rPr>
          <w:i w:val="0"/>
          <w:sz w:val="24"/>
        </w:rPr>
        <w:t>En tránsito, el endpoint de API Gateway usa la política SecurityPolicy_TLS13_1_3_2025_09 en modo STRICT, que acepta solo TLS 1.3 (AWS, s. f.-g). Por eso subimos el mínimo de la app a Android 10 (minSdk 29), la primera versión que trae TLS 1.3. Este cambio reemplaza la decisión de la Entrega 1, que dejaba TLS 1.2 de respaldo. La Tabla 27 resume dónde está cada dato sensible y cómo se protege.</w:t>
      </w:r>
    </w:p>
    <w:p>
      <w:pPr>
        <w:keepNext/>
        <w:spacing w:before="0" w:after="160" w:line="360" w:lineRule="auto"/>
      </w:pPr>
      <w:r>
        <w:rPr>
          <w:b/>
          <w:sz w:val="24"/>
        </w:rPr>
        <w:t>Tabla 27</w:t>
      </w:r>
    </w:p>
    <w:p>
      <w:pPr>
        <w:keepNext/>
        <w:spacing w:before="0" w:after="160" w:line="360" w:lineRule="auto"/>
      </w:pPr>
      <w:r>
        <w:rPr>
          <w:i/>
          <w:sz w:val="24"/>
        </w:rPr>
        <w:t>Estrategia de cifrado por tipo de dato</w:t>
      </w:r>
    </w:p>
    <w:tbl>
      <w:tblPr>
        <w:tblW w:type="auto" w:w="0"/>
        <w:tblLayout w:type="fixed"/>
        <w:tblLook w:firstColumn="1" w:firstRow="1" w:lastColumn="0" w:lastRow="0" w:noHBand="0" w:noVBand="1" w:val="04A0"/>
        <w:tblLayout w:type="fixed"/>
      </w:tblPr>
      <w:tblGrid>
        <w:gridCol w:w="1600"/>
        <w:gridCol w:w="1666"/>
        <w:gridCol w:w="1790"/>
        <w:gridCol w:w="2214"/>
        <w:gridCol w:w="2086"/>
      </w:tblGrid>
      <w:tr>
        <w:trPr>
          <w:cantSplit/>
          <w:tblHeader/>
        </w:trPr>
        <w:tc>
          <w:tcPr>
            <w:tcW w:type="dxa" w:w="1600"/>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Dato</w:t>
            </w:r>
          </w:p>
        </w:tc>
        <w:tc>
          <w:tcPr>
            <w:tcW w:type="dxa" w:w="1667"/>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Dónde está</w:t>
            </w:r>
          </w:p>
        </w:tc>
        <w:tc>
          <w:tcPr>
            <w:tcW w:type="dxa" w:w="1791"/>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En reposo</w:t>
            </w:r>
          </w:p>
        </w:tc>
        <w:tc>
          <w:tcPr>
            <w:tcW w:type="dxa" w:w="2215"/>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En tránsito</w:t>
            </w:r>
          </w:p>
        </w:tc>
        <w:tc>
          <w:tcPr>
            <w:tcW w:type="dxa" w:w="2087"/>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Llave y quién la usa</w:t>
            </w:r>
          </w:p>
        </w:tc>
      </w:tr>
      <w:tr>
        <w:trPr>
          <w:cantSplit/>
        </w:trPr>
        <w:tc>
          <w:tcPr>
            <w:tcW w:type="dxa" w:w="16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Saldos, movimientos y transferencias</w:t>
            </w:r>
          </w:p>
        </w:tc>
        <w:tc>
          <w:tcPr>
            <w:tcW w:type="dxa" w:w="166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DynamoDB (cuentas, movimientos, transferencias)</w:t>
            </w:r>
          </w:p>
        </w:tc>
        <w:tc>
          <w:tcPr>
            <w:tcW w:type="dxa" w:w="179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AES‑256 con la llave propia</w:t>
            </w:r>
          </w:p>
        </w:tc>
        <w:tc>
          <w:tcPr>
            <w:tcW w:type="dxa" w:w="221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TLS 1.3 app–API; HTTPS firmado Lambda–DynamoDB</w:t>
            </w:r>
          </w:p>
        </w:tc>
        <w:tc>
          <w:tcPr>
            <w:tcW w:type="dxa" w:w="208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alias/qwallet‑datos; solo los roles de sus Lambdas, vía DynamoDB</w:t>
            </w:r>
          </w:p>
        </w:tc>
      </w:tr>
      <w:tr>
        <w:trPr>
          <w:cantSplit/>
        </w:trPr>
        <w:tc>
          <w:tcPr>
            <w:tcW w:type="dxa" w:w="16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DPI y teléfono</w:t>
            </w:r>
          </w:p>
        </w:tc>
        <w:tc>
          <w:tcPr>
            <w:tcW w:type="dxa" w:w="166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DynamoDB (perfiles)</w:t>
            </w:r>
          </w:p>
        </w:tc>
        <w:tc>
          <w:tcPr>
            <w:tcW w:type="dxa" w:w="179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AES‑256; el teléfono se busca por hash y se muestra enmascarado (CTRL‑03)</w:t>
            </w:r>
          </w:p>
        </w:tc>
        <w:tc>
          <w:tcPr>
            <w:tcW w:type="dxa" w:w="221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Igual que arriba</w:t>
            </w:r>
          </w:p>
        </w:tc>
        <w:tc>
          <w:tcPr>
            <w:tcW w:type="dxa" w:w="208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Igual que arriba</w:t>
            </w:r>
          </w:p>
        </w:tc>
      </w:tr>
      <w:tr>
        <w:trPr>
          <w:cantSplit/>
        </w:trPr>
        <w:tc>
          <w:tcPr>
            <w:tcW w:type="dxa" w:w="16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PIN de transacción</w:t>
            </w:r>
          </w:p>
        </w:tc>
        <w:tc>
          <w:tcPr>
            <w:tcW w:type="dxa" w:w="166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DynamoDB (pin)</w:t>
            </w:r>
          </w:p>
        </w:tc>
        <w:tc>
          <w:tcPr>
            <w:tcW w:type="dxa" w:w="179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Hash scrypt con sal, nunca el PIN; la tabla además va cifrada</w:t>
            </w:r>
          </w:p>
        </w:tc>
        <w:tc>
          <w:tcPr>
            <w:tcW w:type="dxa" w:w="221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TLS 1.3, solo al autorizar una operación</w:t>
            </w:r>
          </w:p>
        </w:tc>
        <w:tc>
          <w:tcPr>
            <w:tcW w:type="dxa" w:w="208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No hay llave: el hash no se puede revertir</w:t>
            </w:r>
          </w:p>
        </w:tc>
      </w:tr>
      <w:tr>
        <w:trPr>
          <w:cantSplit/>
        </w:trPr>
        <w:tc>
          <w:tcPr>
            <w:tcW w:type="dxa" w:w="16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Tokens de sesión</w:t>
            </w:r>
          </w:p>
        </w:tc>
        <w:tc>
          <w:tcPr>
            <w:tcW w:type="dxa" w:w="166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Teléfono del cliente</w:t>
            </w:r>
          </w:p>
        </w:tc>
        <w:tc>
          <w:tcPr>
            <w:tcW w:type="dxa" w:w="179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Android Keystore con desbloqueo biométrico (CTRL‑07)</w:t>
            </w:r>
          </w:p>
        </w:tc>
        <w:tc>
          <w:tcPr>
            <w:tcW w:type="dxa" w:w="221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TLS 1.3 con pinning</w:t>
            </w:r>
          </w:p>
        </w:tc>
        <w:tc>
          <w:tcPr>
            <w:tcW w:type="dxa" w:w="208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Keystore del dispositivo</w:t>
            </w:r>
          </w:p>
        </w:tc>
      </w:tr>
      <w:tr>
        <w:trPr>
          <w:cantSplit/>
        </w:trPr>
        <w:tc>
          <w:tcPr>
            <w:tcW w:type="dxa" w:w="16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Contraseñas y secretos TOTP</w:t>
            </w:r>
          </w:p>
        </w:tc>
        <w:tc>
          <w:tcPr>
            <w:tcW w:type="dxa" w:w="166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Amazon Cognito</w:t>
            </w:r>
          </w:p>
        </w:tc>
        <w:tc>
          <w:tcPr>
            <w:tcW w:type="dxa" w:w="179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Los administra Cognito</w:t>
            </w:r>
          </w:p>
        </w:tc>
        <w:tc>
          <w:tcPr>
            <w:tcW w:type="dxa" w:w="221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TLS del login administrado</w:t>
            </w:r>
          </w:p>
        </w:tc>
        <w:tc>
          <w:tcPr>
            <w:tcW w:type="dxa" w:w="208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AWS</w:t>
            </w:r>
          </w:p>
        </w:tc>
      </w:tr>
      <w:tr>
        <w:trPr>
          <w:cantSplit/>
        </w:trPr>
        <w:tc>
          <w:tcPr>
            <w:tcW w:type="dxa" w:w="16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Secretos de los servicios</w:t>
            </w:r>
          </w:p>
        </w:tc>
        <w:tc>
          <w:tcPr>
            <w:tcW w:type="dxa" w:w="166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SSM Parameter Store</w:t>
            </w:r>
          </w:p>
        </w:tc>
        <w:tc>
          <w:tcPr>
            <w:tcW w:type="dxa" w:w="179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SecureString cifrado con KMS</w:t>
            </w:r>
          </w:p>
        </w:tc>
        <w:tc>
          <w:tcPr>
            <w:tcW w:type="dxa" w:w="221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HTTPS firmado</w:t>
            </w:r>
          </w:p>
        </w:tc>
        <w:tc>
          <w:tcPr>
            <w:tcW w:type="dxa" w:w="208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Cada Lambda solo su ruta</w:t>
            </w:r>
          </w:p>
        </w:tc>
      </w:tr>
      <w:tr>
        <w:trPr>
          <w:cantSplit/>
        </w:trPr>
        <w:tc>
          <w:tcPr>
            <w:tcW w:type="dxa" w:w="16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Logs de aplicación y de API</w:t>
            </w:r>
          </w:p>
        </w:tc>
        <w:tc>
          <w:tcPr>
            <w:tcW w:type="dxa" w:w="166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CloudWatch Logs</w:t>
            </w:r>
          </w:p>
        </w:tc>
        <w:tc>
          <w:tcPr>
            <w:tcW w:type="dxa" w:w="179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AES‑256 con la llave propia; 365 días</w:t>
            </w:r>
          </w:p>
        </w:tc>
        <w:tc>
          <w:tcPr>
            <w:tcW w:type="dxa" w:w="221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Interno de AWS</w:t>
            </w:r>
          </w:p>
        </w:tc>
        <w:tc>
          <w:tcPr>
            <w:tcW w:type="dxa" w:w="208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Servicio de logs, solo para esta cuenta</w:t>
            </w:r>
          </w:p>
        </w:tc>
      </w:tr>
      <w:tr>
        <w:trPr>
          <w:cantSplit/>
        </w:trPr>
        <w:tc>
          <w:tcPr>
            <w:tcW w:type="dxa" w:w="160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Registros de auditoría</w:t>
            </w:r>
          </w:p>
        </w:tc>
        <w:tc>
          <w:tcPr>
            <w:tcW w:type="dxa" w:w="166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S3 (bucket de CloudTrail)</w:t>
            </w:r>
          </w:p>
        </w:tc>
        <w:tc>
          <w:tcPr>
            <w:tcW w:type="dxa" w:w="1791"/>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SSE‑KMS con la llave propia; validación de integridad</w:t>
            </w:r>
          </w:p>
        </w:tc>
        <w:tc>
          <w:tcPr>
            <w:tcW w:type="dxa" w:w="221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HTTPS; el bucket rechaza conexiones sin TLS</w:t>
            </w:r>
          </w:p>
        </w:tc>
        <w:tc>
          <w:tcPr>
            <w:tcW w:type="dxa" w:w="208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CloudTrail, solo para este trail</w:t>
            </w:r>
          </w:p>
        </w:tc>
      </w:tr>
      <w:tr>
        <w:trPr>
          <w:cantSplit/>
        </w:trPr>
        <w:tc>
          <w:tcPr>
            <w:tcW w:type="dxa" w:w="1600"/>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Estado de Terraform</w:t>
            </w:r>
          </w:p>
        </w:tc>
        <w:tc>
          <w:tcPr>
            <w:tcW w:type="dxa" w:w="1667"/>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S3 (bucket del estado)</w:t>
            </w:r>
          </w:p>
        </w:tc>
        <w:tc>
          <w:tcPr>
            <w:tcW w:type="dxa" w:w="1791"/>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SSE‑KMS; versionado; sin acceso público</w:t>
            </w:r>
          </w:p>
        </w:tc>
        <w:tc>
          <w:tcPr>
            <w:tcW w:type="dxa" w:w="2215"/>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HTTPS; rechaza conexiones sin TLS</w:t>
            </w:r>
          </w:p>
        </w:tc>
        <w:tc>
          <w:tcPr>
            <w:tcW w:type="dxa" w:w="2087"/>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Roles de GitHub por OIDC</w:t>
            </w:r>
          </w:p>
        </w:tc>
      </w:tr>
    </w:tbl>
    <w:p>
      <w:pPr>
        <w:spacing w:before="0" w:after="160" w:line="360" w:lineRule="auto"/>
        <w:jc w:val="both"/>
      </w:pPr>
      <w:r>
        <w:rPr>
          <w:i/>
          <w:sz w:val="24"/>
        </w:rPr>
        <w:t xml:space="preserve">Nota. </w:t>
      </w:r>
      <w:r>
        <w:rPr>
          <w:sz w:val="24"/>
        </w:rPr>
        <w:t>Elaboración propia a partir de infra/kms.tf, dynamodb.tf, cloudtrail.tf y bootstrap/bootstrap.sh. Las imágenes de contenedor en ECR se cifran con AES-256 administrado por AWS porque no contienen datos de clientes ni secretos.</w:t>
      </w:r>
    </w:p>
    <w:p>
      <w:pPr>
        <w:spacing w:before="0" w:after="160" w:line="360" w:lineRule="auto"/>
        <w:ind w:firstLine="720"/>
        <w:jc w:val="both"/>
      </w:pPr>
      <w:r>
        <w:rPr>
          <w:i w:val="0"/>
          <w:sz w:val="24"/>
        </w:rPr>
        <w:t>La prueba de TLS (EVD-3-12) y el reporte de cifrado (EVD-5-04) se generan automáticamente después de cada despliegue: la conexión con TLS 1.3 debe aceptarse, la de TLS 1.2 debe rechazarse y cada tabla debe mostrar la llave propia. [EVIDENCIA PENDIENTE: se genera en el primer despliegue.]</w:t>
      </w:r>
    </w:p>
    <w:p>
      <w:pPr>
        <w:spacing w:before="0" w:after="160" w:line="360" w:lineRule="auto"/>
        <w:sectPr>
          <w:pgSz w:w="12240" w:h="15840"/>
          <w:pgMar w:top="1440" w:right="1440" w:bottom="1440" w:left="1440" w:header="708" w:footer="708" w:gutter="0"/>
          <w:docGrid w:linePitch="360"/>
        </w:sectPr>
      </w:pPr>
    </w:p>
    <w:p>
      <w:pPr>
        <w:pStyle w:val="Heading3"/>
        <w:spacing w:before="0" w:after="160" w:line="360" w:lineRule="auto"/>
      </w:pPr>
      <w:r>
        <w:t>4.2.3 Matriz de requisitos de seguridad</w:t>
      </w:r>
    </w:p>
    <w:p>
      <w:pPr>
        <w:spacing w:before="0" w:after="160" w:line="360" w:lineRule="auto"/>
        <w:ind w:firstLine="720"/>
        <w:jc w:val="both"/>
      </w:pPr>
      <w:r>
        <w:rPr>
          <w:i w:val="0"/>
          <w:sz w:val="24"/>
        </w:rPr>
        <w:t>La Tabla 28 traduce las amenazas del modelo STRIDE (sección 2.3) en requisitos verificables, tomados de OWASP MASVS v2 para la app y del OWASP API Security Top 10 para la API, y dice dónde se cumple cada uno. La columna Estado separa lo que ya está en la infraestructura desplegada de lo que se implementa en el código de los servicios y de la app en la fase de desarrollo.</w:t>
      </w:r>
    </w:p>
    <w:p>
      <w:pPr>
        <w:keepNext/>
        <w:spacing w:before="0" w:after="160" w:line="360" w:lineRule="auto"/>
      </w:pPr>
      <w:r>
        <w:rPr>
          <w:b/>
          <w:sz w:val="24"/>
        </w:rPr>
        <w:t>Tabla 28</w:t>
      </w:r>
    </w:p>
    <w:p>
      <w:pPr>
        <w:keepNext/>
        <w:spacing w:before="0" w:after="160" w:line="360" w:lineRule="auto"/>
      </w:pPr>
      <w:r>
        <w:rPr>
          <w:i/>
          <w:sz w:val="24"/>
        </w:rPr>
        <w:t>Matriz de requisitos de seguridad</w:t>
      </w:r>
    </w:p>
    <w:tbl>
      <w:tblPr>
        <w:tblW w:type="auto" w:w="0"/>
        <w:tblLayout w:type="fixed"/>
        <w:tblLook w:firstColumn="1" w:firstRow="1" w:lastColumn="0" w:lastRow="0" w:noHBand="0" w:noVBand="1" w:val="04A0"/>
        <w:tblLayout w:type="fixed"/>
      </w:tblPr>
      <w:tblGrid>
        <w:gridCol w:w="1125"/>
        <w:gridCol w:w="1433"/>
        <w:gridCol w:w="3112"/>
        <w:gridCol w:w="2674"/>
        <w:gridCol w:w="2538"/>
        <w:gridCol w:w="2075"/>
      </w:tblGrid>
      <w:tr>
        <w:trPr>
          <w:cantSplit/>
          <w:tblHeader/>
        </w:trPr>
        <w:tc>
          <w:tcPr>
            <w:tcW w:type="dxa" w:w="1126"/>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Req.</w:t>
            </w:r>
          </w:p>
        </w:tc>
        <w:tc>
          <w:tcPr>
            <w:tcW w:type="dxa" w:w="1434"/>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Amenaza</w:t>
            </w:r>
          </w:p>
        </w:tc>
        <w:tc>
          <w:tcPr>
            <w:tcW w:type="dxa" w:w="3113"/>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Requisito</w:t>
            </w:r>
          </w:p>
        </w:tc>
        <w:tc>
          <w:tcPr>
            <w:tcW w:type="dxa" w:w="2675"/>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Referencia</w:t>
            </w:r>
          </w:p>
        </w:tc>
        <w:tc>
          <w:tcPr>
            <w:tcW w:type="dxa" w:w="2538"/>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Control y dónde</w:t>
            </w:r>
          </w:p>
        </w:tc>
        <w:tc>
          <w:tcPr>
            <w:tcW w:type="dxa" w:w="2075"/>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Estado</w:t>
            </w:r>
          </w:p>
        </w:tc>
      </w:tr>
      <w:tr>
        <w:trPr>
          <w:cantSplit/>
        </w:trPr>
        <w:tc>
          <w:tcPr>
            <w:tcW w:type="dxa" w:w="112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REQ‑01</w:t>
            </w:r>
          </w:p>
        </w:tc>
        <w:tc>
          <w:tcPr>
            <w:tcW w:type="dxa" w:w="1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AME‑05, AME‑06</w:t>
            </w:r>
          </w:p>
        </w:tc>
        <w:tc>
          <w:tcPr>
            <w:tcW w:type="dxa" w:w="31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Todo el tráfico de la app va cifrado con TLS 1.3 y la app fija la llave del servidor</w:t>
            </w:r>
          </w:p>
        </w:tc>
        <w:tc>
          <w:tcPr>
            <w:tcW w:type="dxa" w:w="2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MASVS‑NETWORK‑1, NETWORK‑2</w:t>
            </w:r>
          </w:p>
        </w:tc>
        <w:tc>
          <w:tcPr>
            <w:tcW w:type="dxa" w:w="253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CTRL‑08: apigateway.tf y la app</w:t>
            </w:r>
          </w:p>
        </w:tc>
        <w:tc>
          <w:tcPr>
            <w:tcW w:type="dxa" w:w="20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Infraestructura lista; pinning en la app pendiente</w:t>
            </w:r>
          </w:p>
        </w:tc>
      </w:tr>
      <w:tr>
        <w:trPr>
          <w:cantSplit/>
        </w:trPr>
        <w:tc>
          <w:tcPr>
            <w:tcW w:type="dxa" w:w="112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REQ‑02</w:t>
            </w:r>
          </w:p>
        </w:tc>
        <w:tc>
          <w:tcPr>
            <w:tcW w:type="dxa" w:w="1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AME‑13, AME‑16</w:t>
            </w:r>
          </w:p>
        </w:tc>
        <w:tc>
          <w:tcPr>
            <w:tcW w:type="dxa" w:w="31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Ninguna ruta acepta solicitudes sin un token válido y con el alcance de la API</w:t>
            </w:r>
          </w:p>
        </w:tc>
        <w:tc>
          <w:tcPr>
            <w:tcW w:type="dxa" w:w="2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API2:2023</w:t>
            </w:r>
          </w:p>
        </w:tc>
        <w:tc>
          <w:tcPr>
            <w:tcW w:type="dxa" w:w="253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CTRL‑18: authorizer en las 18 rutas (apigateway.tf)</w:t>
            </w:r>
          </w:p>
        </w:tc>
        <w:tc>
          <w:tcPr>
            <w:tcW w:type="dxa" w:w="20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Implementado</w:t>
            </w:r>
          </w:p>
        </w:tc>
      </w:tr>
      <w:tr>
        <w:trPr>
          <w:cantSplit/>
        </w:trPr>
        <w:tc>
          <w:tcPr>
            <w:tcW w:type="dxa" w:w="112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REQ‑03</w:t>
            </w:r>
          </w:p>
        </w:tc>
        <w:tc>
          <w:tcPr>
            <w:tcW w:type="dxa" w:w="1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AME‑04, AME‑15</w:t>
            </w:r>
          </w:p>
        </w:tc>
        <w:tc>
          <w:tcPr>
            <w:tcW w:type="dxa" w:w="31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El inicio de sesión exige MFA y usa código de autorización con PKCE</w:t>
            </w:r>
          </w:p>
        </w:tc>
        <w:tc>
          <w:tcPr>
            <w:tcW w:type="dxa" w:w="2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MASVS‑AUTH‑1</w:t>
            </w:r>
          </w:p>
        </w:tc>
        <w:tc>
          <w:tcPr>
            <w:tcW w:type="dxa" w:w="253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CTRL‑18: cognito.tf</w:t>
            </w:r>
          </w:p>
        </w:tc>
        <w:tc>
          <w:tcPr>
            <w:tcW w:type="dxa" w:w="20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Implementado</w:t>
            </w:r>
          </w:p>
        </w:tc>
      </w:tr>
      <w:tr>
        <w:trPr>
          <w:cantSplit/>
        </w:trPr>
        <w:tc>
          <w:tcPr>
            <w:tcW w:type="dxa" w:w="112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REQ‑04</w:t>
            </w:r>
          </w:p>
        </w:tc>
        <w:tc>
          <w:tcPr>
            <w:tcW w:type="dxa" w:w="1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AME‑38</w:t>
            </w:r>
          </w:p>
        </w:tc>
        <w:tc>
          <w:tcPr>
            <w:tcW w:type="dxa" w:w="31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Las operaciones de dinero piden un segundo factor (PIN) con bloqueo por intentos</w:t>
            </w:r>
          </w:p>
        </w:tc>
        <w:tc>
          <w:tcPr>
            <w:tcW w:type="dxa" w:w="2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MASVS‑AUTH‑3, API6:2023</w:t>
            </w:r>
          </w:p>
        </w:tc>
        <w:tc>
          <w:tcPr>
            <w:tcW w:type="dxa" w:w="253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CTRL‑02: svc‑transfers y tabla pin</w:t>
            </w:r>
          </w:p>
        </w:tc>
        <w:tc>
          <w:tcPr>
            <w:tcW w:type="dxa" w:w="20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Tabla lista; lógica en desarrollo</w:t>
            </w:r>
          </w:p>
        </w:tc>
      </w:tr>
      <w:tr>
        <w:trPr>
          <w:cantSplit/>
        </w:trPr>
        <w:tc>
          <w:tcPr>
            <w:tcW w:type="dxa" w:w="112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REQ‑05</w:t>
            </w:r>
          </w:p>
        </w:tc>
        <w:tc>
          <w:tcPr>
            <w:tcW w:type="dxa" w:w="1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AME‑17, AME‑37</w:t>
            </w:r>
          </w:p>
        </w:tc>
        <w:tc>
          <w:tcPr>
            <w:tcW w:type="dxa" w:w="31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Cada servicio entrega solo recursos del usuario del token</w:t>
            </w:r>
          </w:p>
        </w:tc>
        <w:tc>
          <w:tcPr>
            <w:tcW w:type="dxa" w:w="2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API1:2023</w:t>
            </w:r>
          </w:p>
        </w:tc>
        <w:tc>
          <w:tcPr>
            <w:tcW w:type="dxa" w:w="253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CTRL‑01: handlers de los servicios</w:t>
            </w:r>
          </w:p>
        </w:tc>
        <w:tc>
          <w:tcPr>
            <w:tcW w:type="dxa" w:w="20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En desarrollo</w:t>
            </w:r>
          </w:p>
        </w:tc>
      </w:tr>
      <w:tr>
        <w:trPr>
          <w:cantSplit/>
        </w:trPr>
        <w:tc>
          <w:tcPr>
            <w:tcW w:type="dxa" w:w="112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REQ‑06</w:t>
            </w:r>
          </w:p>
        </w:tc>
        <w:tc>
          <w:tcPr>
            <w:tcW w:type="dxa" w:w="1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AME‑19</w:t>
            </w:r>
          </w:p>
        </w:tc>
        <w:tc>
          <w:tcPr>
            <w:tcW w:type="dxa" w:w="31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Cada función tiene solo los permisos que necesita</w:t>
            </w:r>
          </w:p>
        </w:tc>
        <w:tc>
          <w:tcPr>
            <w:tcW w:type="dxa" w:w="2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API5:2023; ISO 27001 8.2</w:t>
            </w:r>
          </w:p>
        </w:tc>
        <w:tc>
          <w:tcPr>
            <w:tcW w:type="dxa" w:w="253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CTRL‑12: iam.tf y límite de permisos</w:t>
            </w:r>
          </w:p>
        </w:tc>
        <w:tc>
          <w:tcPr>
            <w:tcW w:type="dxa" w:w="20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Implementado</w:t>
            </w:r>
          </w:p>
        </w:tc>
      </w:tr>
      <w:tr>
        <w:trPr>
          <w:cantSplit/>
        </w:trPr>
        <w:tc>
          <w:tcPr>
            <w:tcW w:type="dxa" w:w="112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REQ‑07</w:t>
            </w:r>
          </w:p>
        </w:tc>
        <w:tc>
          <w:tcPr>
            <w:tcW w:type="dxa" w:w="1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AME‑26</w:t>
            </w:r>
          </w:p>
        </w:tc>
        <w:tc>
          <w:tcPr>
            <w:tcW w:type="dxa" w:w="31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Los datos en reposo se cifran con AES‑256 y llave propia</w:t>
            </w:r>
          </w:p>
        </w:tc>
        <w:tc>
          <w:tcPr>
            <w:tcW w:type="dxa" w:w="2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MASVS‑STORAGE‑1; ISO 27001 8.24</w:t>
            </w:r>
          </w:p>
        </w:tc>
        <w:tc>
          <w:tcPr>
            <w:tcW w:type="dxa" w:w="253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CTRL‑19: kms.tf y dynamodb.tf</w:t>
            </w:r>
          </w:p>
        </w:tc>
        <w:tc>
          <w:tcPr>
            <w:tcW w:type="dxa" w:w="20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Implementado</w:t>
            </w:r>
          </w:p>
        </w:tc>
      </w:tr>
      <w:tr>
        <w:trPr>
          <w:cantSplit/>
        </w:trPr>
        <w:tc>
          <w:tcPr>
            <w:tcW w:type="dxa" w:w="112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REQ‑08</w:t>
            </w:r>
          </w:p>
        </w:tc>
        <w:tc>
          <w:tcPr>
            <w:tcW w:type="dxa" w:w="1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AME‑27, AME‑08</w:t>
            </w:r>
          </w:p>
        </w:tc>
        <w:tc>
          <w:tcPr>
            <w:tcW w:type="dxa" w:w="31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Ningún secreto vive en el cliente ni en el código</w:t>
            </w:r>
          </w:p>
        </w:tc>
        <w:tc>
          <w:tcPr>
            <w:tcW w:type="dxa" w:w="2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MASVS‑STORAGE‑1; CWE‑798</w:t>
            </w:r>
          </w:p>
        </w:tc>
        <w:tc>
          <w:tcPr>
            <w:tcW w:type="dxa" w:w="253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CTRL‑16: SSM por servicio</w:t>
            </w:r>
          </w:p>
        </w:tc>
        <w:tc>
          <w:tcPr>
            <w:tcW w:type="dxa" w:w="20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Implementado (rutas); gitleaks en la fase 3</w:t>
            </w:r>
          </w:p>
        </w:tc>
      </w:tr>
      <w:tr>
        <w:trPr>
          <w:cantSplit/>
        </w:trPr>
        <w:tc>
          <w:tcPr>
            <w:tcW w:type="dxa" w:w="112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REQ‑09</w:t>
            </w:r>
          </w:p>
        </w:tc>
        <w:tc>
          <w:tcPr>
            <w:tcW w:type="dxa" w:w="1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AME‑28, AME‑29</w:t>
            </w:r>
          </w:p>
        </w:tc>
        <w:tc>
          <w:tcPr>
            <w:tcW w:type="dxa" w:w="31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Nadie puede borrar la llave, detener ni borrar la auditoría desde el despliegue</w:t>
            </w:r>
          </w:p>
        </w:tc>
        <w:tc>
          <w:tcPr>
            <w:tcW w:type="dxa" w:w="2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ISO 27001 8.15</w:t>
            </w:r>
          </w:p>
        </w:tc>
        <w:tc>
          <w:tcPr>
            <w:tcW w:type="dxa" w:w="253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CTRL‑12, CTRL‑20: denegaciones del rol de despliegue</w:t>
            </w:r>
          </w:p>
        </w:tc>
        <w:tc>
          <w:tcPr>
            <w:tcW w:type="dxa" w:w="20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Implementado</w:t>
            </w:r>
          </w:p>
        </w:tc>
      </w:tr>
      <w:tr>
        <w:trPr>
          <w:cantSplit/>
        </w:trPr>
        <w:tc>
          <w:tcPr>
            <w:tcW w:type="dxa" w:w="112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REQ‑10</w:t>
            </w:r>
          </w:p>
        </w:tc>
        <w:tc>
          <w:tcPr>
            <w:tcW w:type="dxa" w:w="1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AME‑30</w:t>
            </w:r>
          </w:p>
        </w:tc>
        <w:tc>
          <w:tcPr>
            <w:tcW w:type="dxa" w:w="31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Los buckets no son públicos y exigen TLS</w:t>
            </w:r>
          </w:p>
        </w:tc>
        <w:tc>
          <w:tcPr>
            <w:tcW w:type="dxa" w:w="2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CIS AWS</w:t>
            </w:r>
          </w:p>
        </w:tc>
        <w:tc>
          <w:tcPr>
            <w:tcW w:type="dxa" w:w="253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CTRL‑12: cloudtrail.tf y bootstrap</w:t>
            </w:r>
          </w:p>
        </w:tc>
        <w:tc>
          <w:tcPr>
            <w:tcW w:type="dxa" w:w="20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Implementado</w:t>
            </w:r>
          </w:p>
        </w:tc>
      </w:tr>
      <w:tr>
        <w:trPr>
          <w:cantSplit/>
        </w:trPr>
        <w:tc>
          <w:tcPr>
            <w:tcW w:type="dxa" w:w="112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REQ‑11</w:t>
            </w:r>
          </w:p>
        </w:tc>
        <w:tc>
          <w:tcPr>
            <w:tcW w:type="dxa" w:w="1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AME‑32</w:t>
            </w:r>
          </w:p>
        </w:tc>
        <w:tc>
          <w:tcPr>
            <w:tcW w:type="dxa" w:w="31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El despliegue usa identidad temporal y no puede borrar recursos sin aprobación</w:t>
            </w:r>
          </w:p>
        </w:tc>
        <w:tc>
          <w:tcPr>
            <w:tcW w:type="dxa" w:w="2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SLSA; A08:2025</w:t>
            </w:r>
          </w:p>
        </w:tc>
        <w:tc>
          <w:tcPr>
            <w:tcW w:type="dxa" w:w="253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CTRL‑21: OIDC, entorno dev y revisión del plan</w:t>
            </w:r>
          </w:p>
        </w:tc>
        <w:tc>
          <w:tcPr>
            <w:tcW w:type="dxa" w:w="20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Implementado</w:t>
            </w:r>
          </w:p>
        </w:tc>
      </w:tr>
      <w:tr>
        <w:trPr>
          <w:cantSplit/>
        </w:trPr>
        <w:tc>
          <w:tcPr>
            <w:tcW w:type="dxa" w:w="112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REQ‑12</w:t>
            </w:r>
          </w:p>
        </w:tc>
        <w:tc>
          <w:tcPr>
            <w:tcW w:type="dxa" w:w="1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AME‑35</w:t>
            </w:r>
          </w:p>
        </w:tc>
        <w:tc>
          <w:tcPr>
            <w:tcW w:type="dxa" w:w="31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Las imágenes no se pueden reemplazar y su base está fijada</w:t>
            </w:r>
          </w:p>
        </w:tc>
        <w:tc>
          <w:tcPr>
            <w:tcW w:type="dxa" w:w="2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CIS Docker</w:t>
            </w:r>
          </w:p>
        </w:tc>
        <w:tc>
          <w:tcPr>
            <w:tcW w:type="dxa" w:w="253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CTRL‑11: ecr.tf y Dockerfile</w:t>
            </w:r>
          </w:p>
        </w:tc>
        <w:tc>
          <w:tcPr>
            <w:tcW w:type="dxa" w:w="20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Implementado</w:t>
            </w:r>
          </w:p>
        </w:tc>
      </w:tr>
      <w:tr>
        <w:trPr>
          <w:cantSplit/>
        </w:trPr>
        <w:tc>
          <w:tcPr>
            <w:tcW w:type="dxa" w:w="1126"/>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REQ‑13</w:t>
            </w:r>
          </w:p>
        </w:tc>
        <w:tc>
          <w:tcPr>
            <w:tcW w:type="dxa" w:w="143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AME‑11, AME‑18</w:t>
            </w:r>
          </w:p>
        </w:tc>
        <w:tc>
          <w:tcPr>
            <w:tcW w:type="dxa" w:w="3113"/>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La API limita la frecuencia de solicitudes</w:t>
            </w:r>
          </w:p>
        </w:tc>
        <w:tc>
          <w:tcPr>
            <w:tcW w:type="dxa" w:w="26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API4:2023</w:t>
            </w:r>
          </w:p>
        </w:tc>
        <w:tc>
          <w:tcPr>
            <w:tcW w:type="dxa" w:w="2538"/>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CTRL‑05, CTRL‑17: throttling y WAF</w:t>
            </w:r>
          </w:p>
        </w:tc>
        <w:tc>
          <w:tcPr>
            <w:tcW w:type="dxa" w:w="2075"/>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Implementado (WAF solo en pruebas)</w:t>
            </w:r>
          </w:p>
        </w:tc>
      </w:tr>
      <w:tr>
        <w:trPr>
          <w:cantSplit/>
        </w:trPr>
        <w:tc>
          <w:tcPr>
            <w:tcW w:type="dxa" w:w="1126"/>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REQ‑14</w:t>
            </w:r>
          </w:p>
        </w:tc>
        <w:tc>
          <w:tcPr>
            <w:tcW w:type="dxa" w:w="1434"/>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AME‑14, AME‑25</w:t>
            </w:r>
          </w:p>
        </w:tc>
        <w:tc>
          <w:tcPr>
            <w:tcW w:type="dxa" w:w="3113"/>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Los errores son genéricos y los logs no guardan tokens ni cuerpos</w:t>
            </w:r>
          </w:p>
        </w:tc>
        <w:tc>
          <w:tcPr>
            <w:tcW w:type="dxa" w:w="2675"/>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API8:2023; A09:2025</w:t>
            </w:r>
          </w:p>
        </w:tc>
        <w:tc>
          <w:tcPr>
            <w:tcW w:type="dxa" w:w="2538"/>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CTRL‑09, CTRL‑13: respuestas y logs de API Gateway</w:t>
            </w:r>
          </w:p>
        </w:tc>
        <w:tc>
          <w:tcPr>
            <w:tcW w:type="dxa" w:w="2075"/>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Implementado en API Gateway</w:t>
            </w:r>
          </w:p>
        </w:tc>
      </w:tr>
    </w:tbl>
    <w:p>
      <w:pPr>
        <w:spacing w:before="0" w:after="160" w:line="360" w:lineRule="auto"/>
        <w:jc w:val="both"/>
      </w:pPr>
      <w:r>
        <w:rPr>
          <w:i/>
          <w:sz w:val="24"/>
        </w:rPr>
        <w:t xml:space="preserve">Nota. </w:t>
      </w:r>
      <w:r>
        <w:rPr>
          <w:sz w:val="24"/>
        </w:rPr>
        <w:t>Elaboración propia. Las amenazas AME son las del modelo de la sección 2.3 y los controles CTRL, los de la sección 1.5. MASVS: OWASP Mobile Application Security Project (2024); API: OWASP API Security Top 10 2023; A08 y A09: OWASP Top 10:2025.</w:t>
      </w:r>
    </w:p>
    <w:p>
      <w:pPr>
        <w:spacing w:before="0" w:after="160" w:line="360" w:lineRule="auto"/>
        <w:sectPr>
          <w:pgSz w:w="15840" w:h="12240" w:orient="landscape"/>
          <w:pgMar w:top="1440" w:right="1440" w:bottom="1440" w:left="1440" w:header="708" w:footer="708" w:gutter="0"/>
          <w:docGrid w:linePitch="360"/>
        </w:sectPr>
      </w:pPr>
    </w:p>
    <w:p>
      <w:pPr>
        <w:pStyle w:val="Heading2"/>
        <w:spacing w:before="0" w:after="160" w:line="360" w:lineRule="auto"/>
      </w:pPr>
      <w:r>
        <w:t>4.5 Hardening de infraestructura cloud</w:t>
      </w:r>
    </w:p>
    <w:p>
      <w:pPr>
        <w:spacing w:before="0" w:after="160" w:line="360" w:lineRule="auto"/>
        <w:ind w:firstLine="720"/>
        <w:jc w:val="both"/>
      </w:pPr>
      <w:r>
        <w:rPr>
          <w:i w:val="0"/>
          <w:sz w:val="24"/>
        </w:rPr>
        <w:t>El endurecimiento de la infraestructura cloud se aplica en el propio Terraform (secciones 4.1 y 4.2) y se audita de forma automática. Revisamos el Terraform con Checkov 3.3.22 en cada pull request, antes de que algo llegue a AWS (evidencia EVD-3-06). El primer análisis completo, del 29 de octubre de 2026, revisó 125 bloques de Terraform: 282 verificaciones pasaron, 0 fallaron y 39 se omitieron con justificación. Cada omisión está escrita junto al recurso en el propio código, con el formato #checkov:skip=ID:motivo, para que el motivo quede a la vista de quien revisa. El Dockerfile de las Lambdas pasó las 5 verificaciones que le aplican.</w:t>
      </w:r>
    </w:p>
    <w:p>
      <w:pPr>
        <w:spacing w:before="0" w:after="160" w:line="360" w:lineRule="auto"/>
        <w:ind w:firstLine="720"/>
        <w:jc w:val="both"/>
      </w:pPr>
      <w:r>
        <w:rPr>
          <w:i w:val="0"/>
          <w:sz w:val="24"/>
        </w:rPr>
        <w:t>Antes de llegar a ese resultado, la primera corrida marcó 52 fallas. Corregimos las que tenían arreglo dentro del presupuesto: subimos la retención de logs a 365 días, activamos el rastreo con X-Ray en API Gateway y en las Lambdas y protegimos la API contra reemplazos. Las demás se aceptaron por las razones de la Tabla 29.</w:t>
      </w:r>
    </w:p>
    <w:p>
      <w:pPr>
        <w:keepNext/>
        <w:spacing w:before="0" w:after="160" w:line="360" w:lineRule="auto"/>
      </w:pPr>
      <w:r>
        <w:rPr>
          <w:b/>
          <w:sz w:val="24"/>
        </w:rPr>
        <w:t>Tabla 29</w:t>
      </w:r>
    </w:p>
    <w:p>
      <w:pPr>
        <w:keepNext/>
        <w:spacing w:before="0" w:after="160" w:line="360" w:lineRule="auto"/>
      </w:pPr>
      <w:r>
        <w:rPr>
          <w:i/>
          <w:sz w:val="24"/>
        </w:rPr>
        <w:t>Verificaciones de Checkov omitidas y su justificación</w:t>
      </w:r>
    </w:p>
    <w:tbl>
      <w:tblPr>
        <w:tblW w:type="auto" w:w="0"/>
        <w:tblLayout w:type="fixed"/>
        <w:tblLook w:firstColumn="1" w:firstRow="1" w:lastColumn="0" w:lastRow="0" w:noHBand="0" w:noVBand="1" w:val="04A0"/>
        <w:tblLayout w:type="fixed"/>
      </w:tblPr>
      <w:tblGrid>
        <w:gridCol w:w="2254"/>
        <w:gridCol w:w="2106"/>
        <w:gridCol w:w="1489"/>
        <w:gridCol w:w="3509"/>
      </w:tblGrid>
      <w:tr>
        <w:trPr>
          <w:cantSplit/>
          <w:tblHeader/>
        </w:trPr>
        <w:tc>
          <w:tcPr>
            <w:tcW w:type="dxa" w:w="2254"/>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Verificación</w:t>
            </w:r>
          </w:p>
        </w:tc>
        <w:tc>
          <w:tcPr>
            <w:tcW w:type="dxa" w:w="2107"/>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Qué pide</w:t>
            </w:r>
          </w:p>
        </w:tc>
        <w:tc>
          <w:tcPr>
            <w:tcW w:type="dxa" w:w="1489"/>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Recursos</w:t>
            </w:r>
          </w:p>
        </w:tc>
        <w:tc>
          <w:tcPr>
            <w:tcW w:type="dxa" w:w="3510"/>
            <w:tcBorders>
              <w:top w:val="single" w:sz="4" w:color="000000"/>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sz w:val="18"/>
              </w:rPr>
              <w:t>Por qué se omite</w:t>
            </w:r>
          </w:p>
        </w:tc>
      </w:tr>
      <w:tr>
        <w:trPr>
          <w:cantSplit/>
        </w:trPr>
        <w:tc>
          <w:tcPr>
            <w:tcW w:type="dxa" w:w="22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CKV_AWS_117</w:t>
            </w:r>
          </w:p>
        </w:tc>
        <w:tc>
          <w:tcPr>
            <w:tcW w:type="dxa" w:w="21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Lambda dentro de una VPC</w:t>
            </w:r>
          </w:p>
        </w:tc>
        <w:tc>
          <w:tcPr>
            <w:tcW w:type="dxa" w:w="148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5 Lambdas</w:t>
            </w:r>
          </w:p>
        </w:tc>
        <w:tc>
          <w:tcPr>
            <w:tcW w:type="dxa" w:w="351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Exigiría NAT Gateway (prohibido por costo); segmentación por rol IAM (4.1.2)</w:t>
            </w:r>
          </w:p>
        </w:tc>
      </w:tr>
      <w:tr>
        <w:trPr>
          <w:cantSplit/>
        </w:trPr>
        <w:tc>
          <w:tcPr>
            <w:tcW w:type="dxa" w:w="22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CKV_AWS_115</w:t>
            </w:r>
          </w:p>
        </w:tc>
        <w:tc>
          <w:tcPr>
            <w:tcW w:type="dxa" w:w="21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Concurrencia reservada por función</w:t>
            </w:r>
          </w:p>
        </w:tc>
        <w:tc>
          <w:tcPr>
            <w:tcW w:type="dxa" w:w="148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5 Lambdas</w:t>
            </w:r>
          </w:p>
        </w:tc>
        <w:tc>
          <w:tcPr>
            <w:tcW w:type="dxa" w:w="351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La cuenta nueva tiene un límite de 10 ejecuciones simultáneas; el freno lo pone el throttling de API Gateway</w:t>
            </w:r>
          </w:p>
        </w:tc>
      </w:tr>
      <w:tr>
        <w:trPr>
          <w:cantSplit/>
        </w:trPr>
        <w:tc>
          <w:tcPr>
            <w:tcW w:type="dxa" w:w="22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CKV_AWS_116</w:t>
            </w:r>
          </w:p>
        </w:tc>
        <w:tc>
          <w:tcPr>
            <w:tcW w:type="dxa" w:w="21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Cola de mensajes fallidos</w:t>
            </w:r>
          </w:p>
        </w:tc>
        <w:tc>
          <w:tcPr>
            <w:tcW w:type="dxa" w:w="148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5 Lambdas</w:t>
            </w:r>
          </w:p>
        </w:tc>
        <w:tc>
          <w:tcPr>
            <w:tcW w:type="dxa" w:w="351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Invocación síncrona: el error vuelve al cliente</w:t>
            </w:r>
          </w:p>
        </w:tc>
      </w:tr>
      <w:tr>
        <w:trPr>
          <w:cantSplit/>
        </w:trPr>
        <w:tc>
          <w:tcPr>
            <w:tcW w:type="dxa" w:w="22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CKV_AWS_272</w:t>
            </w:r>
          </w:p>
        </w:tc>
        <w:tc>
          <w:tcPr>
            <w:tcW w:type="dxa" w:w="21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Firma de código</w:t>
            </w:r>
          </w:p>
        </w:tc>
        <w:tc>
          <w:tcPr>
            <w:tcW w:type="dxa" w:w="148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5 Lambdas</w:t>
            </w:r>
          </w:p>
        </w:tc>
        <w:tc>
          <w:tcPr>
            <w:tcW w:type="dxa" w:w="351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No aplica a imágenes de contenedor; la integridad la dan las etiquetas inmutables de ECR</w:t>
            </w:r>
          </w:p>
        </w:tc>
      </w:tr>
      <w:tr>
        <w:trPr>
          <w:cantSplit/>
        </w:trPr>
        <w:tc>
          <w:tcPr>
            <w:tcW w:type="dxa" w:w="22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CKV_AWS_136</w:t>
            </w:r>
          </w:p>
        </w:tc>
        <w:tc>
          <w:tcPr>
            <w:tcW w:type="dxa" w:w="21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ECR cifrado con KMS</w:t>
            </w:r>
          </w:p>
        </w:tc>
        <w:tc>
          <w:tcPr>
            <w:tcW w:type="dxa" w:w="148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5 repositorios</w:t>
            </w:r>
          </w:p>
        </w:tc>
        <w:tc>
          <w:tcPr>
            <w:tcW w:type="dxa" w:w="351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Las imágenes no tienen datos de clientes ni secretos; AES‑256 administrado por AWS</w:t>
            </w:r>
          </w:p>
        </w:tc>
      </w:tr>
      <w:tr>
        <w:trPr>
          <w:cantSplit/>
        </w:trPr>
        <w:tc>
          <w:tcPr>
            <w:tcW w:type="dxa" w:w="22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CKV_AWS_120, CKV_AWS_225</w:t>
            </w:r>
          </w:p>
        </w:tc>
        <w:tc>
          <w:tcPr>
            <w:tcW w:type="dxa" w:w="21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Caché de API Gateway</w:t>
            </w:r>
          </w:p>
        </w:tc>
        <w:tc>
          <w:tcPr>
            <w:tcW w:type="dxa" w:w="148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Etapa v1</w:t>
            </w:r>
          </w:p>
        </w:tc>
        <w:tc>
          <w:tcPr>
            <w:tcW w:type="dxa" w:w="351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Respuestas con datos de un solo cliente; la caché tiene costo por hora</w:t>
            </w:r>
          </w:p>
        </w:tc>
      </w:tr>
      <w:tr>
        <w:trPr>
          <w:cantSplit/>
        </w:trPr>
        <w:tc>
          <w:tcPr>
            <w:tcW w:type="dxa" w:w="22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CKV2_AWS_4</w:t>
            </w:r>
          </w:p>
        </w:tc>
        <w:tc>
          <w:tcPr>
            <w:tcW w:type="dxa" w:w="21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Log de ejecución de API Gateway</w:t>
            </w:r>
          </w:p>
        </w:tc>
        <w:tc>
          <w:tcPr>
            <w:tcW w:type="dxa" w:w="148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Etapa v1</w:t>
            </w:r>
          </w:p>
        </w:tc>
        <w:tc>
          <w:tcPr>
            <w:tcW w:type="dxa" w:w="351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Puede copiar cuerpos con datos personales; usamos el log de acceso (CTRL‑09)</w:t>
            </w:r>
          </w:p>
        </w:tc>
      </w:tr>
      <w:tr>
        <w:trPr>
          <w:cantSplit/>
        </w:trPr>
        <w:tc>
          <w:tcPr>
            <w:tcW w:type="dxa" w:w="22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CKV2_AWS_51</w:t>
            </w:r>
          </w:p>
        </w:tc>
        <w:tc>
          <w:tcPr>
            <w:tcW w:type="dxa" w:w="21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Certificado de cliente</w:t>
            </w:r>
          </w:p>
        </w:tc>
        <w:tc>
          <w:tcPr>
            <w:tcW w:type="dxa" w:w="148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Etapa v1</w:t>
            </w:r>
          </w:p>
        </w:tc>
        <w:tc>
          <w:tcPr>
            <w:tcW w:type="dxa" w:w="351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Pensado para backends HTTP; aquí la integración con Lambda la firma AWS</w:t>
            </w:r>
          </w:p>
        </w:tc>
      </w:tr>
      <w:tr>
        <w:trPr>
          <w:cantSplit/>
        </w:trPr>
        <w:tc>
          <w:tcPr>
            <w:tcW w:type="dxa" w:w="22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CKV2_AWS_29, CKV2_AWS_77</w:t>
            </w:r>
          </w:p>
        </w:tc>
        <w:tc>
          <w:tcPr>
            <w:tcW w:type="dxa" w:w="21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WAF asociado con regla de Log4j</w:t>
            </w:r>
          </w:p>
        </w:tc>
        <w:tc>
          <w:tcPr>
            <w:tcW w:type="dxa" w:w="148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Etapa v1</w:t>
            </w:r>
          </w:p>
        </w:tc>
        <w:tc>
          <w:tcPr>
            <w:tcW w:type="dxa" w:w="351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El WAF (con la regla de entradas maliciosas, que cubre Log4j) se enciende solo en pruebas por costo</w:t>
            </w:r>
          </w:p>
        </w:tc>
      </w:tr>
      <w:tr>
        <w:trPr>
          <w:cantSplit/>
        </w:trPr>
        <w:tc>
          <w:tcPr>
            <w:tcW w:type="dxa" w:w="22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CKV_AWS_109, CKV_AWS_111, CKV_AWS_356</w:t>
            </w:r>
          </w:p>
        </w:tc>
        <w:tc>
          <w:tcPr>
            <w:tcW w:type="dxa" w:w="21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Sin “*” en políticas</w:t>
            </w:r>
          </w:p>
        </w:tc>
        <w:tc>
          <w:tcPr>
            <w:tcW w:type="dxa" w:w="148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Política de la llave KMS</w:t>
            </w:r>
          </w:p>
        </w:tc>
        <w:tc>
          <w:tcPr>
            <w:tcW w:type="dxa" w:w="351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En una política de llave, “*” significa “esta llave”; los servicios llevan condiciones de origen</w:t>
            </w:r>
          </w:p>
        </w:tc>
      </w:tr>
      <w:tr>
        <w:trPr>
          <w:cantSplit/>
        </w:trPr>
        <w:tc>
          <w:tcPr>
            <w:tcW w:type="dxa" w:w="2254"/>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CKV_AWS_18, CKV_AWS_144, CKV2_AWS_62</w:t>
            </w:r>
          </w:p>
        </w:tc>
        <w:tc>
          <w:tcPr>
            <w:tcW w:type="dxa" w:w="2107"/>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Registro de acceso, replicación y notificaciones del bucket</w:t>
            </w:r>
          </w:p>
        </w:tc>
        <w:tc>
          <w:tcPr>
            <w:tcW w:type="dxa" w:w="1489"/>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Bucket de CloudTrail</w:t>
            </w:r>
          </w:p>
        </w:tc>
        <w:tc>
          <w:tcPr>
            <w:tcW w:type="dxa" w:w="3510"/>
            <w:tcBorders>
              <w:top w:val="none" w:sz="0" w:color="FFFFFF"/>
              <w:left w:val="none" w:sz="0" w:color="FFFFFF"/>
              <w:bottom w:val="none" w:sz="0" w:color="FFFFFF"/>
              <w:right w:val="none" w:sz="0" w:color="FFFFFF"/>
            </w:tcBorders>
            <w:tcMar>
              <w:top w:w="40" w:type="dxa"/>
              <w:left w:w="90" w:type="dxa"/>
              <w:bottom w:w="40" w:type="dxa"/>
              <w:right w:w="90" w:type="dxa"/>
            </w:tcMar>
          </w:tcPr>
          <w:p>
            <w:pPr>
              <w:spacing w:before="0" w:after="0" w:line="360" w:lineRule="auto"/>
              <w:jc w:val="left"/>
            </w:pPr>
            <w:r>
              <w:rPr>
                <w:b w:val="0"/>
                <w:sz w:val="18"/>
              </w:rPr>
              <w:t>Costo; una sola región aceptada (RSK‑01); las alertas se definen con el SIEM</w:t>
            </w:r>
          </w:p>
        </w:tc>
      </w:tr>
      <w:tr>
        <w:trPr>
          <w:cantSplit/>
        </w:trPr>
        <w:tc>
          <w:tcPr>
            <w:tcW w:type="dxa" w:w="2254"/>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CKV2_AWS_10, CKV_AWS_252</w:t>
            </w:r>
          </w:p>
        </w:tc>
        <w:tc>
          <w:tcPr>
            <w:tcW w:type="dxa" w:w="2107"/>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CloudTrail a CloudWatch y a SNS</w:t>
            </w:r>
          </w:p>
        </w:tc>
        <w:tc>
          <w:tcPr>
            <w:tcW w:type="dxa" w:w="1489"/>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Trail</w:t>
            </w:r>
          </w:p>
        </w:tc>
        <w:tc>
          <w:tcPr>
            <w:tcW w:type="dxa" w:w="3510"/>
            <w:tcBorders>
              <w:top w:val="none" w:sz="0" w:color="FFFFFF"/>
              <w:left w:val="none" w:sz="0" w:color="FFFFFF"/>
              <w:bottom w:val="single" w:sz="4" w:color="000000"/>
              <w:right w:val="none" w:sz="0" w:color="FFFFFF"/>
            </w:tcBorders>
            <w:tcMar>
              <w:top w:w="40" w:type="dxa"/>
              <w:left w:w="90" w:type="dxa"/>
              <w:bottom w:w="40" w:type="dxa"/>
              <w:right w:w="90" w:type="dxa"/>
            </w:tcMar>
          </w:tcPr>
          <w:p>
            <w:pPr>
              <w:spacing w:before="0" w:after="0" w:line="360" w:lineRule="auto"/>
              <w:jc w:val="left"/>
            </w:pPr>
            <w:r>
              <w:rPr>
                <w:b w:val="0"/>
                <w:sz w:val="18"/>
              </w:rPr>
              <w:t>Se decide con el SIEM en la fase de operación (CTRL‑20)</w:t>
            </w:r>
          </w:p>
        </w:tc>
      </w:tr>
    </w:tbl>
    <w:p>
      <w:pPr>
        <w:spacing w:before="0" w:after="160" w:line="360" w:lineRule="auto"/>
        <w:jc w:val="both"/>
      </w:pPr>
      <w:r>
        <w:rPr>
          <w:i/>
          <w:sz w:val="24"/>
        </w:rPr>
        <w:t xml:space="preserve">Nota. </w:t>
      </w:r>
      <w:r>
        <w:rPr>
          <w:sz w:val="24"/>
        </w:rPr>
        <w:t>Elaboración propia a partir del resultado de Checkov 3.3.22 sobre la carpeta infra (Bridgecrew, s. f.). El escaneo de las imágenes con Trivy se agrega en la fase de desarrollo, cuando existan las imágenes reales de los servicios.</w:t>
      </w:r>
    </w:p>
    <w:p>
      <w:pPr>
        <w:pStyle w:val="Heading2"/>
        <w:spacing w:before="0" w:after="160" w:line="360" w:lineRule="auto"/>
      </w:pPr>
      <w:r>
        <w:t>Referencias de esta sección [se integran a la lista general al ensamblar]</w:t>
      </w:r>
    </w:p>
    <w:p>
      <w:pPr>
        <w:spacing w:before="0" w:after="160" w:line="360" w:lineRule="auto"/>
        <w:ind w:left="720" w:hanging="720"/>
      </w:pPr>
      <w:r>
        <w:rPr>
          <w:sz w:val="24"/>
        </w:rPr>
        <w:t>Amazon Web Services. (s. f.-d). Permissions boundaries for IAM entities. AWS Identity and Access Management User Guide. Recuperado el 29 de octubre de 2026, de https://docs.aws.amazon.com/IAM/latest/UserGuide/access_policies_boundaries.html</w:t>
      </w:r>
    </w:p>
    <w:p>
      <w:pPr>
        <w:spacing w:before="0" w:after="160" w:line="360" w:lineRule="auto"/>
        <w:ind w:left="720" w:hanging="720"/>
      </w:pPr>
      <w:r>
        <w:rPr>
          <w:sz w:val="24"/>
        </w:rPr>
        <w:t>Amazon Web Services. (s. f.-e). DynamoDB encryption at rest: How it works. Amazon DynamoDB Developer Guide. Recuperado el 29 de octubre de 2026, de https://docs.aws.amazon.com/amazondynamodb/latest/developerguide/encryption.howitworks.html</w:t>
      </w:r>
    </w:p>
    <w:p>
      <w:pPr>
        <w:spacing w:before="0" w:after="160" w:line="360" w:lineRule="auto"/>
        <w:ind w:left="720" w:hanging="720"/>
      </w:pPr>
      <w:r>
        <w:rPr>
          <w:sz w:val="24"/>
        </w:rPr>
        <w:t>Amazon Web Services. (s. f.-f). Key spec reference. AWS Key Management Service Developer Guide. Recuperado el 29 de octubre de 2026, de https://docs.aws.amazon.com/kms/latest/developerguide/symm-asymm-choose-key-spec.html</w:t>
      </w:r>
    </w:p>
    <w:p>
      <w:pPr>
        <w:spacing w:before="0" w:after="160" w:line="360" w:lineRule="auto"/>
        <w:ind w:left="720" w:hanging="720"/>
      </w:pPr>
      <w:r>
        <w:rPr>
          <w:sz w:val="24"/>
        </w:rPr>
        <w:t>Amazon Web Services. (s. f.-g). Supported security policies. Amazon API Gateway Developer Guide. Recuperado el 29 de octubre de 2026, de https://docs.aws.amazon.com/apigateway/latest/developerguide/apigateway-security-policies-list.html</w:t>
      </w:r>
    </w:p>
    <w:p>
      <w:pPr>
        <w:spacing w:before="0" w:after="160" w:line="360" w:lineRule="auto"/>
        <w:ind w:left="720" w:hanging="720"/>
      </w:pPr>
      <w:r>
        <w:rPr>
          <w:sz w:val="24"/>
        </w:rPr>
        <w:t>Bridgecrew. (s. f.). Checkov: Policy-as-code for everyone. Recuperado el 29 de octubre de 2026, de https://www.checkov.io/</w:t>
      </w:r>
    </w:p>
    <w:p>
      <w:pPr>
        <w:spacing w:before="0" w:after="160" w:line="360" w:lineRule="auto"/>
        <w:ind w:left="720" w:hanging="720"/>
      </w:pPr>
      <w:r>
        <w:rPr>
          <w:sz w:val="24"/>
        </w:rPr>
        <w:t>Rose, S., Borchert, O., Mitchell, S. y Connelly, S. (2020). Zero trust architecture (NIST Special Publication 800-207). National Institute of Standards and Technology. https://doi.org/10.6028/NIST.SP.800-207</w:t>
      </w:r>
    </w:p>
    <w:sectPr>
      <w:pgSz w:w="12240" w:h="15840"/>
      <w:pgMar w:top="1440" w:right="1440" w:bottom="144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nsid w:val="014CA801"/>
    <w:multiLevelType w:val="singleLevel"/>
    <w:tmpl w:val="29761A62"/>
    <w:lvl w:ilvl="0">
      <w:start w:val="1"/>
      <w:numFmt w:val="bullet"/>
      <w:pStyle w:val="ListBullet"/>
      <w:lvlText w:val=""/>
      <w:lvlJc w:val="left"/>
      <w:pPr>
        <w:tabs>
          <w:tab w:val="num" w:pos="360"/>
        </w:tabs>
        <w:ind w:left="360" w:hanging="360"/>
      </w:pPr>
      <w:rPr>
        <w:rFonts w:ascii="Symbol" w:hAnsi="Symbol" w:hint="default" w:eastAsia="Arial" w:cs="Symbol"/>
      </w:rPr>
    </w:lvl>
  </w:abstract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60" w:before="0" w:line="360" w:lineRule="auto"/>
      </w:pPr>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160" w:line="360" w:lineRule="auto" w:before="0"/>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160" w:line="360" w:lineRule="auto" w:before="0"/>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tabs>
        <w:tab w:val="right" w:pos="9360" w:leader="dot"/>
      </w:tabs>
    </w:pPr>
    <w:rPr>
      <w:rFonts w:ascii="Arial" w:cs="Arial" w:eastAsia="Arial" w:hAnsi="Arial"/>
      <w:sz w:val="24"/>
      <w:szCs w:val="24"/>
    </w:rPr>
  </w:style>
  <w:style w:type="paragraph" w:styleId="TOC2">
    <w:name w:val="toc 2"/>
    <w:basedOn w:val="Normal"/>
    <w:next w:val="Normal"/>
    <w:pPr>
      <w:tabs>
        <w:tab w:val="right" w:pos="9360" w:leader="dot"/>
      </w:tabs>
      <w:ind w:left="360"/>
    </w:pPr>
    <w:rPr>
      <w:rFonts w:ascii="Arial" w:cs="Arial" w:eastAsia="Arial" w:hAnsi="Arial"/>
      <w:sz w:val="24"/>
      <w:szCs w:val="24"/>
    </w:rPr>
  </w:style>
  <w:style w:type="paragraph" w:styleId="TOC3">
    <w:name w:val="toc 3"/>
    <w:basedOn w:val="Normal"/>
    <w:next w:val="Normal"/>
    <w:pPr>
      <w:tabs>
        <w:tab w:val="right" w:pos="9360" w:leader="dot"/>
      </w:tabs>
      <w:ind w:left="720"/>
    </w:pPr>
    <w:rPr>
      <w:rFonts w:ascii="Arial" w:cs="Arial" w:eastAsia="Arial" w:hAnsi="Arial"/>
      <w:sz w:val="24"/>
      <w:szCs w:val="24"/>
    </w:rPr>
  </w:style>
  <w:style w:type="paragraph" w:styleId="ListBullet">
    <w:name w:val="List Bullet"/>
    <w:basedOn w:val="Normal"/>
    <w:uiPriority w:val="99"/>
    <w:unhideWhenUsed/>
    <w:rsid w:val="00326F90"/>
    <w:pPr>
      <w:numPr>
        <w:numId w:val="2"/>
      </w:numPr>
      <w:contextualSpacing/>
    </w:pPr>
  </w:style>
  <w:style w:type="paragraph" w:styleId="Heading1">
    <w:name w:val="heading 1"/>
    <w:basedOn w:val="Normal"/>
    <w:next w:val="Normal"/>
    <w:uiPriority w:val="9"/>
    <w:qFormat/>
    <w:pPr>
      <w:keepNext/>
      <w:keepLines/>
      <w:spacing w:before="0" w:after="160" w:line="360" w:lineRule="auto"/>
      <w:jc w:val="center"/>
      <w:outlineLvl w:val="0"/>
    </w:pPr>
    <w:rPr>
      <w:rFonts w:ascii="Arial" w:hAnsi="Arial" w:cs="Arial" w:eastAsia="Arial"/>
      <w:b/>
      <w:bCs/>
      <w:i w:val="0"/>
      <w:iCs w:val="0"/>
      <w:color w:val="000000"/>
      <w:sz w:val="24"/>
      <w:szCs w:val="24"/>
    </w:rPr>
  </w:style>
  <w:style w:type="paragraph" w:styleId="Heading2">
    <w:name w:val="heading 2"/>
    <w:basedOn w:val="Normal"/>
    <w:next w:val="Normal"/>
    <w:uiPriority w:val="9"/>
    <w:qFormat/>
    <w:pPr>
      <w:keepNext/>
      <w:keepLines/>
      <w:spacing w:before="0" w:after="160" w:line="360" w:lineRule="auto"/>
      <w:jc w:val="left"/>
      <w:outlineLvl w:val="1"/>
    </w:pPr>
    <w:rPr>
      <w:rFonts w:ascii="Arial" w:hAnsi="Arial" w:cs="Arial" w:eastAsia="Arial"/>
      <w:b/>
      <w:bCs/>
      <w:i w:val="0"/>
      <w:iCs w:val="0"/>
      <w:color w:val="000000"/>
      <w:sz w:val="24"/>
      <w:szCs w:val="24"/>
    </w:rPr>
  </w:style>
  <w:style w:type="paragraph" w:styleId="Heading3">
    <w:name w:val="heading 3"/>
    <w:basedOn w:val="Normal"/>
    <w:next w:val="Normal"/>
    <w:uiPriority w:val="9"/>
    <w:qFormat/>
    <w:pPr>
      <w:keepNext/>
      <w:keepLines/>
      <w:spacing w:before="0" w:after="160" w:line="360" w:lineRule="auto"/>
      <w:jc w:val="left"/>
      <w:outlineLvl w:val="2"/>
    </w:pPr>
    <w:rPr>
      <w:rFonts w:ascii="Arial" w:hAnsi="Arial" w:cs="Arial" w:eastAsia="Arial"/>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Grupo Q-Wallet</dc:creator>
  <cp:lastModifiedBy>Un-named</cp:lastModifiedBy>
  <cp:revision>1</cp:revision>
  <dcterms:created xsi:type="dcterms:W3CDTF">2026-10-14T03:11:59.349Z</dcterms:created>
  <dcterms:modified xsi:type="dcterms:W3CDTF">2026-10-14T03:11:59.355Z</dcterms:modified>
  <dc:title>Q-Wallet: Entrega 1 — Selección y Planificación; Activos y Riesgos</dc:title>
</cp:coreProperties>
</file>

<file path=docProps/custom.xml><?xml version="1.0" encoding="utf-8"?>
<Properties xmlns="http://schemas.openxmlformats.org/officeDocument/2006/custom-properties" xmlns:vt="http://schemas.openxmlformats.org/officeDocument/2006/docPropsVTypes"/>
</file>