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b/>
          <w:bCs/>
        </w:rPr>
        <w:t xml:space="preserve">Q-Wallet: seguridad desde el diseño de una billetera digital móvil en la nube de AWS</w:t>
      </w:r>
    </w:p>
    <w:p>
      <w:pPr>
        <w:jc w:val="center"/>
      </w:pPr>
      <w:r>
        <w:rPr>
          <w:b/>
          <w:bCs/>
        </w:rPr>
        <w:t xml:space="preserve">Entrega 1: Selección y Planificación; Activos y Riesgos</w:t>
      </w:r>
    </w:p>
    <w:p/>
    <w:p>
      <w:pPr>
        <w:jc w:val="center"/>
      </w:pPr>
      <w:r>
        <w:t xml:space="preserve">Katherine Johana Sandoval Monterroso (1493-21-16747)</w:t>
      </w:r>
    </w:p>
    <w:p>
      <w:pPr>
        <w:jc w:val="center"/>
      </w:pPr>
      <w:r>
        <w:t xml:space="preserve">Daniel Edivin Barrios Monzón (1493-19-3305)</w:t>
      </w:r>
    </w:p>
    <w:p>
      <w:pPr>
        <w:jc w:val="center"/>
      </w:pPr>
      <w:r>
        <w:t xml:space="preserve">Aroldo Francisco Lolmet Calel (1493-23-20110)</w:t>
      </w:r>
    </w:p>
    <w:p/>
    <w:p>
      <w:pPr>
        <w:jc w:val="center"/>
      </w:pPr>
      <w:r>
        <w:t xml:space="preserve">Facultad de Ingeniería en Sistemas, Programa de Postgrados, Universidad Mariano Gálvez de Guatemala</w:t>
      </w:r>
    </w:p>
    <w:p>
      <w:pPr>
        <w:jc w:val="center"/>
      </w:pPr>
      <w:r>
        <w:t xml:space="preserve">Maestría en Seguridad Informática</w:t>
      </w:r>
    </w:p>
    <w:p>
      <w:pPr>
        <w:jc w:val="center"/>
      </w:pPr>
      <w:r>
        <w:t xml:space="preserve">Seguridad en Aplicaciones</w:t>
      </w:r>
    </w:p>
    <w:p>
      <w:pPr>
        <w:jc w:val="center"/>
      </w:pPr>
      <w:r>
        <w:t xml:space="preserve">Osberto Saúl Gallo Orozco</w:t>
      </w:r>
    </w:p>
    <w:p>
      <w:pPr>
        <w:jc w:val="center"/>
      </w:pPr>
      <w:r>
        <w:t xml:space="preserve">17 de octubre de 2026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ind w:firstLine="720"/>
        <w:jc w:val="both"/>
      </w:pPr>
      <w:r>
        <w:t xml:space="preserve">Q-Wallet es una billetera digital ficticia para Android, con dinero simulado en quetzales, que funciona sobre servicios de Amazon Web Services: API Gateway, Cognito, Lambda y DynamoDB. En esta primera entrega presentamos la selección y planificación del proyecto y el análisis de activos y riesgos. Trabajamos con un enfoque seguro desde el diseño: construimos la aplicación con sus controles desde el inicio, y las pruebas de las fases siguientes servirán para demostrar que esos controles funcionan.</w:t>
      </w:r>
    </w:p>
    <w:p>
      <w:pPr>
        <w:ind w:firstLine="720"/>
        <w:jc w:val="both"/>
      </w:pPr>
      <w:r>
        <w:t xml:space="preserve">Seguimos el proceso de gestión de riesgos de ISO/IEC 27005:2022. Inventariamos 28 activos de seis tipos según ISO/IEC 27001:2022 y los clasificamos por confidencialidad, integridad y disponibilidad: 11 resultaron de criticidad crítica, 13 alta y 4 media. Modelamos la arquitectura en diagramas de flujo de datos de tres niveles, con seis fronteras de confianza, y aplicamos STRIDE a cada elemento. Identificamos 41 amenazas y justificamos 14 casos no aplicables; la categoría más frecuente fue la divulgación de información, con 13 amenazas, seguida de la manipulación, con 9.</w:t>
      </w:r>
    </w:p>
    <w:p>
      <w:pPr>
        <w:ind w:firstLine="720"/>
        <w:jc w:val="both"/>
      </w:pPr>
      <w:r>
        <w:t xml:space="preserve">Valoramos cada amenaza con DREAD y la convertimos en probabilidad e impacto sobre una matriz de 5 × 5. El riesgo inherente quedó en 18 riesgos críticos, 12 altos, 11 medios y ninguno bajo, repartidos en las siete capas de defensa en profundidad. Para tratarlos definimos 23 controles (CTRL-01 a CTRL-23), entre ellos la autorización a nivel de objeto, el PIN de transacción con bloqueo, la autenticación multifactor con OAuth2 y PKCE, el cifrado con llaves propias de KMS, AWS WAF, la autoprotección de la aplicación en tiempo de ejecución y un SIEM con Wazuh. Decidimos mitigar 39 riesgos, transferir 1 y aceptar 1.</w:t>
      </w:r>
    </w:p>
    <w:p>
      <w:pPr>
        <w:ind w:firstLine="720"/>
        <w:jc w:val="both"/>
      </w:pPr>
      <w:r>
        <w:t xml:space="preserve">Con los controles implementados, el riesgo residual proyectado baja a 0 críticos, 1 alto, 26 medios y 14 bajos, y la suma de los puntajes de riesgo pasa de 580 a 207, una reducción del 64 %. El único riesgo alto que queda, RSK-32 (compromiso del flujo de despliegue), no lo aceptamos: tiene un plan de refuerzo para llevarlo a nivel medio. Esta proyección todavía no está verificada. En las fases siguientes desplegaremos la arquitectura con Terraform y GitHub Actions y ejecutaremos los casos de abuso dentro de la política de pruebas de AWS para medir el riesgo residual real.</w:t>
      </w:r>
    </w:p>
    <w:p>
      <w:r>
        <w:br w:type="page"/>
      </w:r>
    </w:p>
    <w:p>
      <w:pPr>
        <w:spacing w:after="120" w:before="240"/>
        <w:jc w:val="center"/>
      </w:pPr>
      <w:r>
        <w:rPr>
          <w:b/>
          <w:bCs/>
        </w:rPr>
        <w:t xml:space="preserve"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Resumen ejecutivo</w:t>
      </w:r>
      <w:r>
        <w:t xml:space="preserve">	2</w:t>
      </w:r>
    </w:p>
    <w:p>
      <w:pPr>
        <w:pStyle w:val="TOC1"/>
      </w:pPr>
      <w:r>
        <w:t xml:space="preserve">1. Selección y Planificación</w:t>
      </w:r>
      <w:r>
        <w:t xml:space="preserve">	4</w:t>
      </w:r>
    </w:p>
    <w:p>
      <w:pPr>
        <w:pStyle w:val="TOC2"/>
      </w:pPr>
      <w:r>
        <w:t xml:space="preserve">1.1 Contexto</w:t>
      </w:r>
      <w:r>
        <w:t xml:space="preserve">	4</w:t>
      </w:r>
    </w:p>
    <w:p>
      <w:pPr>
        <w:pStyle w:val="TOC2"/>
      </w:pPr>
      <w:r>
        <w:t xml:space="preserve">1.2 Objetivos</w:t>
      </w:r>
      <w:r>
        <w:t xml:space="preserve">	5</w:t>
      </w:r>
    </w:p>
    <w:p>
      <w:pPr>
        <w:pStyle w:val="TOC3"/>
      </w:pPr>
      <w:r>
        <w:t xml:space="preserve">Objetivo general</w:t>
      </w:r>
      <w:r>
        <w:t xml:space="preserve">	5</w:t>
      </w:r>
    </w:p>
    <w:p>
      <w:pPr>
        <w:pStyle w:val="TOC3"/>
      </w:pPr>
      <w:r>
        <w:t xml:space="preserve">Objetivos específicos</w:t>
      </w:r>
      <w:r>
        <w:t xml:space="preserve">	5</w:t>
      </w:r>
    </w:p>
    <w:p>
      <w:pPr>
        <w:pStyle w:val="TOC2"/>
      </w:pPr>
      <w:r>
        <w:t xml:space="preserve">1.3 Alcance</w:t>
      </w:r>
      <w:r>
        <w:t xml:space="preserve">	7</w:t>
      </w:r>
    </w:p>
    <w:p>
      <w:pPr>
        <w:pStyle w:val="TOC3"/>
      </w:pPr>
      <w:r>
        <w:t xml:space="preserve">Enfoque seguro desde el diseño</w:t>
      </w:r>
      <w:r>
        <w:t xml:space="preserve">	8</w:t>
      </w:r>
    </w:p>
    <w:p>
      <w:pPr>
        <w:pStyle w:val="TOC3"/>
      </w:pPr>
      <w:r>
        <w:t xml:space="preserve">Restricciones</w:t>
      </w:r>
      <w:r>
        <w:t xml:space="preserve">	8</w:t>
      </w:r>
    </w:p>
    <w:p>
      <w:pPr>
        <w:pStyle w:val="TOC2"/>
      </w:pPr>
      <w:r>
        <w:t xml:space="preserve">1.4 Normativas y estándares de referencia</w:t>
      </w:r>
      <w:r>
        <w:t xml:space="preserve">	9</w:t>
      </w:r>
    </w:p>
    <w:p>
      <w:pPr>
        <w:pStyle w:val="TOC2"/>
      </w:pPr>
      <w:r>
        <w:t xml:space="preserve">1.5 Definición del scope técnico</w:t>
      </w:r>
      <w:r>
        <w:t xml:space="preserve">	12</w:t>
      </w:r>
    </w:p>
    <w:p>
      <w:pPr>
        <w:pStyle w:val="TOC3"/>
      </w:pPr>
      <w:r>
        <w:t xml:space="preserve">1.5.1 Arquitectura de la solución</w:t>
      </w:r>
      <w:r>
        <w:t xml:space="preserve">	12</w:t>
      </w:r>
    </w:p>
    <w:p>
      <w:pPr>
        <w:pStyle w:val="TOC3"/>
      </w:pPr>
      <w:r>
        <w:t xml:space="preserve">1.5.2 Superficie de la API</w:t>
      </w:r>
      <w:r>
        <w:t xml:space="preserve">	13</w:t>
      </w:r>
    </w:p>
    <w:p>
      <w:pPr>
        <w:pStyle w:val="TOC3"/>
      </w:pPr>
      <w:r>
        <w:t xml:space="preserve">1.5.3 Fronteras de confianza</w:t>
      </w:r>
      <w:r>
        <w:t xml:space="preserve">	14</w:t>
      </w:r>
    </w:p>
    <w:p>
      <w:pPr>
        <w:pStyle w:val="TOC3"/>
      </w:pPr>
      <w:r>
        <w:t xml:space="preserve">1.5.4 Controles de seguridad por componente</w:t>
      </w:r>
      <w:r>
        <w:t xml:space="preserve">	15</w:t>
      </w:r>
    </w:p>
    <w:p>
      <w:pPr>
        <w:pStyle w:val="TOC3"/>
      </w:pPr>
      <w:r>
        <w:t xml:space="preserve">1.5.5 Herramientas por fase</w:t>
      </w:r>
      <w:r>
        <w:t xml:space="preserve">	16</w:t>
      </w:r>
    </w:p>
    <w:p>
      <w:pPr>
        <w:pStyle w:val="TOC3"/>
      </w:pPr>
      <w:r>
        <w:t xml:space="preserve">1.5.6 Reglas de enfrentamiento del pentest</w:t>
      </w:r>
      <w:r>
        <w:t xml:space="preserve">	16</w:t>
      </w:r>
    </w:p>
    <w:p>
      <w:pPr>
        <w:pStyle w:val="TOC1"/>
      </w:pPr>
      <w:r>
        <w:t xml:space="preserve">2. Activos y Riesgos</w:t>
      </w:r>
      <w:r>
        <w:t xml:space="preserve">	20</w:t>
      </w:r>
    </w:p>
    <w:p>
      <w:pPr>
        <w:pStyle w:val="TOC2"/>
      </w:pPr>
      <w:r>
        <w:t xml:space="preserve">2.1 Inventario de activos</w:t>
      </w:r>
      <w:r>
        <w:t xml:space="preserve">	20</w:t>
      </w:r>
    </w:p>
    <w:p>
      <w:pPr>
        <w:pStyle w:val="TOC2"/>
      </w:pPr>
      <w:r>
        <w:t xml:space="preserve">2.2 Clasificación CIA y criticidad</w:t>
      </w:r>
      <w:r>
        <w:t xml:space="preserve">	26</w:t>
      </w:r>
    </w:p>
    <w:p>
      <w:pPr>
        <w:pStyle w:val="TOC2"/>
      </w:pPr>
      <w:r>
        <w:t xml:space="preserve">2.3 Modelado de amenazas STRIDE</w:t>
      </w:r>
      <w:r>
        <w:t xml:space="preserve">	28</w:t>
      </w:r>
    </w:p>
    <w:p>
      <w:pPr>
        <w:pStyle w:val="TOC2"/>
      </w:pPr>
      <w:r>
        <w:t xml:space="preserve">2.4 Valoración DREAD</w:t>
      </w:r>
      <w:r>
        <w:t xml:space="preserve">	36</w:t>
      </w:r>
    </w:p>
    <w:p>
      <w:pPr>
        <w:pStyle w:val="TOC2"/>
      </w:pPr>
      <w:r>
        <w:t xml:space="preserve">2.5 Matriz de riesgos inicial</w:t>
      </w:r>
      <w:r>
        <w:t xml:space="preserve">	39</w:t>
      </w:r>
    </w:p>
    <w:p>
      <w:pPr>
        <w:pStyle w:val="TOC3"/>
      </w:pPr>
      <w:r>
        <w:t xml:space="preserve">2.5.1 Conversión de DREAD a probabilidad e impacto</w:t>
      </w:r>
      <w:r>
        <w:t xml:space="preserve">	39</w:t>
      </w:r>
    </w:p>
    <w:p>
      <w:pPr>
        <w:pStyle w:val="TOC3"/>
      </w:pPr>
      <w:r>
        <w:t xml:space="preserve">2.5.2 Matriz de riesgos</w:t>
      </w:r>
      <w:r>
        <w:t xml:space="preserve">	40</w:t>
      </w:r>
    </w:p>
    <w:p>
      <w:pPr>
        <w:pStyle w:val="TOC3"/>
      </w:pPr>
      <w:r>
        <w:t xml:space="preserve">2.5.3 Mapa de calor del riesgo inherente</w:t>
      </w:r>
      <w:r>
        <w:t xml:space="preserve">	44</w:t>
      </w:r>
    </w:p>
    <w:p>
      <w:pPr>
        <w:pStyle w:val="TOC3"/>
      </w:pPr>
      <w:r>
        <w:t xml:space="preserve">2.5.4 Riesgos por capa de defensa</w:t>
      </w:r>
      <w:r>
        <w:t xml:space="preserve">	45</w:t>
      </w:r>
    </w:p>
    <w:p>
      <w:pPr>
        <w:pStyle w:val="TOC3"/>
      </w:pPr>
      <w:r>
        <w:t xml:space="preserve">2.5.5 Riesgo residual proyectado y tratamiento</w:t>
      </w:r>
      <w:r>
        <w:t xml:space="preserve">	46</w:t>
      </w:r>
    </w:p>
    <w:p>
      <w:pPr>
        <w:pStyle w:val="TOC1"/>
      </w:pPr>
      <w:r>
        <w:t xml:space="preserve">Referencias</w:t>
      </w:r>
      <w:r>
        <w:t xml:space="preserve">	51</w:t>
      </w:r>
      <w:r>
        <w:fldChar w:fldCharType="end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 w:line="360"/>
      <w:jc w:val="center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TOC1">
    <w:name w:val="toc 1"/>
    <w:basedOn w:val="Normal"/>
    <w:next w:val="Normal"/>
    <w:pPr>
      <w:tabs>
        <w:tab w:val="right" w:pos="9360" w:leader="dot"/>
      </w:tabs>
    </w:pPr>
    <w:rPr>
      <w:rFonts w:ascii="Arial" w:cs="Arial" w:eastAsia="Arial" w:hAnsi="Arial"/>
      <w:sz w:val="24"/>
      <w:szCs w:val="24"/>
    </w:rPr>
  </w:style>
  <w:style w:type="paragraph" w:styleId="TOC2">
    <w:name w:val="toc 2"/>
    <w:basedOn w:val="Normal"/>
    <w:next w:val="Normal"/>
    <w:pPr>
      <w:tabs>
        <w:tab w:val="right" w:pos="9360" w:leader="dot"/>
      </w:tabs>
      <w:ind w:left="360"/>
    </w:pPr>
    <w:rPr>
      <w:rFonts w:ascii="Arial" w:cs="Arial" w:eastAsia="Arial" w:hAnsi="Arial"/>
      <w:sz w:val="24"/>
      <w:szCs w:val="24"/>
    </w:rPr>
  </w:style>
  <w:style w:type="paragraph" w:styleId="TOC3">
    <w:name w:val="toc 3"/>
    <w:basedOn w:val="Normal"/>
    <w:next w:val="Normal"/>
    <w:pPr>
      <w:tabs>
        <w:tab w:val="right" w:pos="9360" w:leader="dot"/>
      </w:tabs>
      <w:ind w:left="720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Grupo Q-Wallet</dc:creator>
  <cp:lastModifiedBy>Un-named</cp:lastModifiedBy>
  <cp:revision>1</cp:revision>
  <dcterms:created xsi:type="dcterms:W3CDTF">2026-10-14T03:11:59.349Z</dcterms:created>
  <dcterms:modified xsi:type="dcterms:W3CDTF">2026-10-14T03:11:59.355Z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