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60"/>
        <w:jc w:val="center"/>
      </w:pPr>
      <w:r>
        <w:rPr>
          <w:rFonts w:ascii="Arial" w:cs="Arial" w:eastAsia="Arial" w:hAnsi="Arial"/>
          <w:b/>
          <w:bCs/>
          <w:color w:val="000000"/>
          <w:sz w:val="24"/>
          <w:szCs w:val="24"/>
        </w:rPr>
        <w:t xml:space="preserve">1. Selección y Planificación</w:t>
      </w:r>
    </w:p>
    <w:p>
      <w:pPr>
        <w:pStyle w:val="Heading2"/>
        <w:spacing w:after="60" w:before="240" w:line="360"/>
      </w:pPr>
      <w:r>
        <w:rPr>
          <w:rFonts w:ascii="Arial" w:cs="Arial" w:eastAsia="Arial" w:hAnsi="Arial"/>
          <w:b/>
          <w:bCs/>
          <w:color w:val="000000"/>
          <w:sz w:val="24"/>
          <w:szCs w:val="24"/>
        </w:rPr>
        <w:t xml:space="preserve">1.1 Contexto</w:t>
      </w:r>
    </w:p>
    <w:p>
      <w:pPr>
        <w:spacing w:line="360"/>
        <w:ind w:firstLine="720"/>
        <w:jc w:val="both"/>
      </w:pPr>
      <w:r>
        <w:rPr>
          <w:rFonts w:ascii="Arial" w:cs="Arial" w:eastAsia="Arial" w:hAnsi="Arial"/>
        </w:rPr>
        <w:t xml:space="preserve">En América Latina y el Caribe, el ecosistema de tecnología financiera (fintech) pasó de 703 emprendimientos en 18 países en 2017 a 3,069 en 26 países en 2023. Dentro de ese total, Guatemala concentra el 1.11 % de las plataformas de la región y, en Centroamérica, el segmento de pagos y remesas tiene un peso mayor que en el resto de la región (Finnovista et al., 2024). Estas cifras muestran un mercado todavía pequeño, pero en crecimiento y orientado precisamente al tipo de servicio que desarrollamos en este proyecto: la transferencia de dinero entre personas desde el teléfono.</w:t>
      </w:r>
    </w:p>
    <w:p>
      <w:pPr>
        <w:spacing w:line="360"/>
        <w:ind w:firstLine="720"/>
        <w:jc w:val="both"/>
      </w:pPr>
      <w:r>
        <w:rPr>
          <w:rFonts w:ascii="Arial" w:cs="Arial" w:eastAsia="Arial" w:hAnsi="Arial"/>
        </w:rPr>
        <w:t xml:space="preserve">La oportunidad se explica por la brecha de inclusión financiera del país. Según la Global Findex 2025 del Banco Mundial, solo el 38 % de los adultos guatemaltecos tiene una cuenta financiera y apenas el 23 % ha realizado o recibido pagos digitales, frente al 71 % y 60 %, respectivamente, de Costa Rica (Banco Mundial, 2025, como se citó en Estrategia &amp; Negocios, 2025) [VERIFICAR en la base primaria de Global Findex]. Una billetera móvil reduce las barreras de acceso, pero también incorpora a usuarios con poca experiencia en canales digitales, lo que aumenta su exposición al fraude y a la suplantación de identidad.</w:t>
      </w:r>
    </w:p>
    <w:p>
      <w:pPr>
        <w:spacing w:line="360"/>
        <w:ind w:firstLine="720"/>
        <w:jc w:val="both"/>
      </w:pPr>
      <w:r>
        <w:rPr>
          <w:rFonts w:ascii="Arial" w:cs="Arial" w:eastAsia="Arial" w:hAnsi="Arial"/>
        </w:rPr>
        <w:t xml:space="preserve">Las aplicaciones financieras móviles concentran en un mismo punto dinero, credenciales y datos personales, por lo que son un objetivo prioritario para los atacantes. La pérdida de control de acceso ocupa el primer lugar del OWASP Top 10:2025 (OWASP Foundation, 2025) y la autorización defectuosa a nivel de objeto encabeza el OWASP API Security Top 10 2023 (OWASP Foundation, 2023): ambas fallas permiten, en una billetera, consultar o mover el dinero de otra persona. En Guatemala, las entidades supervisadas por la Superintendencia de Bancos (SIB) gestionan este riesgo conforme al Reglamento para la Administración del Riesgo Tecnológico, Resolución JM-104-2021 de la Junta Monetaria (Amazon Web Services [AWS], s.f.; Junta Monetaria, 2021).</w:t>
      </w:r>
    </w:p>
    <w:p>
      <w:pPr>
        <w:spacing w:line="360"/>
        <w:ind w:firstLine="720"/>
        <w:jc w:val="both"/>
      </w:pPr>
      <w:r>
        <w:rPr>
          <w:rFonts w:ascii="Arial" w:cs="Arial" w:eastAsia="Arial" w:hAnsi="Arial"/>
        </w:rPr>
        <w:t xml:space="preserve">En este contexto planteamos Q-Wallet, una billetera digital de la empresa ficticia Q-Wallet, S.A., que combina transferencias entre personas con un control de gastos personal. La aplicación funciona en Android, opera con dinero simulado en quetzales (GTQ) y almacena todos los montos como números enteros en centavos, para evitar errores de redondeo. Tiene dos roles: el cliente, que usa la aplicación móvil, y el personal de soporte o administración, que opera mediante servicios de administración protegidos y no cuenta con una aplicación web. La Tabla 1 resume las funciones del producto mínimo viable.</w:t>
      </w:r>
    </w:p>
    <w:p>
      <w:pPr>
        <w:keepNext/>
        <w:spacing w:before="240" w:line="240"/>
      </w:pPr>
      <w:r>
        <w:rPr>
          <w:rFonts w:ascii="Arial" w:cs="Arial" w:eastAsia="Arial" w:hAnsi="Arial"/>
          <w:b/>
          <w:bCs/>
          <w:sz w:val="24"/>
          <w:szCs w:val="24"/>
        </w:rPr>
        <w:t xml:space="preserve">Tabla 1</w:t>
      </w:r>
    </w:p>
    <w:p>
      <w:pPr>
        <w:keepNext/>
        <w:spacing w:after="120" w:line="240"/>
      </w:pPr>
      <w:r>
        <w:rPr>
          <w:rFonts w:ascii="Arial" w:cs="Arial" w:eastAsia="Arial" w:hAnsi="Arial"/>
          <w:i/>
          <w:iCs/>
          <w:sz w:val="24"/>
          <w:szCs w:val="24"/>
        </w:rPr>
        <w:t xml:space="preserve">Funciones del producto mínimo viable de Q-Wallet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ID</w:t>
            </w:r>
          </w:p>
        </w:tc>
        <w:tc>
          <w:tcPr>
            <w:tcW w:type="dxa" w:w="24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Función</w:t>
            </w:r>
          </w:p>
        </w:tc>
        <w:tc>
          <w:tcPr>
            <w:tcW w:type="dxa" w:w="60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Descripción</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F1</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Registro e inicio de sesión</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OAuth 2.0 con código de autorización y PKCE mediante el inicio de sesión administrado de Amazon Cognito, con segundo factor TOTP obligatorio.</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F2</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Desbloqueo biométrico</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Reapertura de la sesión con huella o rostro, verificada localmente en el dispositivo.</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F3</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Saldo y movimientos</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Consulta del saldo y del historial de movimientos, paginado por cursor.</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F4</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Transferencia P2P</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Envío de dinero a otro usuario identificado por su número de teléfono, autorizado con un PIN de transacción.</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F5</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Beneficiarios frecuentes</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Registro y eliminación de destinatarios habituales.</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F6</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Control de gastos</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Categorías, presupuestos mensuales y alertas al superarlos.</w:t>
            </w:r>
          </w:p>
        </w:tc>
      </w:tr>
      <w:tr>
        <w:trPr>
          <w:cantSplit/>
        </w:trPr>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F7</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Administración</w:t>
            </w:r>
          </w:p>
        </w:tc>
        <w:tc>
          <w:tcPr>
            <w:tcW w:type="dxa" w:w="60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Listado y bloqueo de usuarios y consulta del registro de auditoría, solo para el grupo de administradores.</w:t>
            </w:r>
          </w:p>
        </w:tc>
      </w:tr>
    </w:tbl>
    <w:p>
      <w:pPr>
        <w:spacing w:after="240" w:before="60" w:line="240"/>
      </w:pPr>
      <w:r>
        <w:rPr>
          <w:rFonts w:ascii="Arial" w:cs="Arial" w:eastAsia="Arial" w:hAnsi="Arial"/>
          <w:i/>
          <w:iCs/>
          <w:sz w:val="20"/>
          <w:szCs w:val="20"/>
        </w:rPr>
        <w:t xml:space="preserve">Nota. </w:t>
      </w:r>
      <w:r>
        <w:rPr>
          <w:rFonts w:ascii="Arial" w:cs="Arial" w:eastAsia="Arial" w:hAnsi="Arial"/>
          <w:sz w:val="20"/>
          <w:szCs w:val="20"/>
        </w:rPr>
        <w:t xml:space="preserve">Elaboración propia. Fuera del alcance quedan iOS, la versión web, las tarjetas reales, la integración con bancos reales y la verificación de identidad (KYC) real.</w:t>
      </w:r>
    </w:p>
    <w:p>
      <w:pPr>
        <w:spacing w:line="360"/>
        <w:ind w:firstLine="720"/>
        <w:jc w:val="both"/>
      </w:pPr>
      <w:r>
        <w:rPr>
          <w:rFonts w:ascii="Arial" w:cs="Arial" w:eastAsia="Arial" w:hAnsi="Arial"/>
        </w:rPr>
        <w:t xml:space="preserve">El problema que abordamos no es construir una billetera más, sino demostrar con evidencia que cada amenaza identificada en el diseño cuenta con un control que la mitiga y que ese control funciona. Por indicación del catedrático, Q-Wallet se construye segura desde el diseño: no existe una versión vulnerable que luego se corrige, sino una aplicación que incorpora sus controles desde el inicio y cuya eficacia se comprueba mediante pruebas de penetración.</w:t>
      </w:r>
    </w:p>
    <w:p>
      <w:pPr>
        <w:pStyle w:val="Heading2"/>
        <w:spacing w:after="60" w:before="240" w:line="360"/>
      </w:pPr>
      <w:r>
        <w:rPr>
          <w:rFonts w:ascii="Arial" w:cs="Arial" w:eastAsia="Arial" w:hAnsi="Arial"/>
          <w:b/>
          <w:bCs/>
          <w:color w:val="000000"/>
          <w:sz w:val="24"/>
          <w:szCs w:val="24"/>
        </w:rPr>
        <w:t xml:space="preserve">1.2 Objetivos</w:t>
      </w:r>
    </w:p>
    <w:p>
      <w:pPr>
        <w:pStyle w:val="Heading3"/>
        <w:spacing w:before="120" w:line="360"/>
      </w:pPr>
      <w:r>
        <w:rPr>
          <w:rFonts w:ascii="Arial" w:cs="Arial" w:eastAsia="Arial" w:hAnsi="Arial"/>
          <w:b/>
          <w:bCs/>
          <w:i/>
          <w:iCs/>
          <w:color w:val="000000"/>
          <w:sz w:val="24"/>
          <w:szCs w:val="24"/>
        </w:rPr>
        <w:t xml:space="preserve">Objetivo general</w:t>
      </w:r>
    </w:p>
    <w:p>
      <w:pPr>
        <w:spacing w:line="360"/>
        <w:ind w:firstLine="720"/>
        <w:jc w:val="both"/>
      </w:pPr>
      <w:r>
        <w:rPr>
          <w:rFonts w:ascii="Arial" w:cs="Arial" w:eastAsia="Arial" w:hAnsi="Arial"/>
        </w:rPr>
        <w:t xml:space="preserve">Diseñar, implementar y evaluar la seguridad de Q-Wallet, una aplicación móvil Android de billetera digital con servicios en la nube de AWS, aplicando un enfoque seguro desde el diseño basado en ISO/IEC 27001:2022, ISO/IEC 27005:2022, OWASP MASVS y OWASP API Security Top 10, para demostrar con evidencia verificable la reducción del riesgo inherente a un riesgo residual aceptable antes de la entrega final del curso [FECHA PENDIENTE].</w:t>
      </w:r>
    </w:p>
    <w:p>
      <w:pPr>
        <w:pStyle w:val="Heading3"/>
        <w:spacing w:before="120" w:line="360"/>
      </w:pPr>
      <w:r>
        <w:rPr>
          <w:rFonts w:ascii="Arial" w:cs="Arial" w:eastAsia="Arial" w:hAnsi="Arial"/>
          <w:b/>
          <w:bCs/>
          <w:i/>
          <w:iCs/>
          <w:color w:val="000000"/>
          <w:sz w:val="24"/>
          <w:szCs w:val="24"/>
        </w:rPr>
        <w:t xml:space="preserve">Objetivos específicos</w:t>
      </w:r>
    </w:p>
    <w:p>
      <w:pPr>
        <w:spacing w:line="360"/>
        <w:ind w:firstLine="720"/>
        <w:jc w:val="both"/>
      </w:pPr>
      <w:r>
        <w:rPr>
          <w:rFonts w:ascii="Arial" w:cs="Arial" w:eastAsia="Arial" w:hAnsi="Arial"/>
        </w:rPr>
        <w:t xml:space="preserve">OE1. Identificar y valorar al menos 25 activos de información de Q-Wallet, clasificados en seis tipos según ISO/IEC 27001:2022 y con su valoración de confidencialidad, integridad y disponibilidad, y modelar las amenazas con STRIDE sobre los diagramas de flujo de datos de niveles 0, 1 y 2, valorando con DREAD y con la matriz de probabilidad por impacto el 100 % de las amenazas identificadas en las siete capas de seguridad, a más tardar el 17 de octubre de 2026.</w:t>
      </w:r>
    </w:p>
    <w:p>
      <w:pPr>
        <w:spacing w:line="360"/>
        <w:ind w:firstLine="720"/>
        <w:jc w:val="both"/>
      </w:pPr>
      <w:r>
        <w:rPr>
          <w:rFonts w:ascii="Arial" w:cs="Arial" w:eastAsia="Arial" w:hAnsi="Arial"/>
        </w:rPr>
        <w:t xml:space="preserve">OE2. Desplegar mediante Terraform la arquitectura de Q-Wallet en AWS (API Gateway REST, Amazon Cognito, AWS Lambda y Amazon DynamoDB cifrada con una llave KMS propia) e integrar un flujo de integración continua en GitHub Actions con análisis estático de código, análisis de dependencias, detección de secretos y análisis de infraestructura como código y de contenedores, configurado para detener el despliegue ante hallazgos de severidad alta o crítica, de modo que la rama principal no tenga hallazgos altos o críticos abiertos sin justificar antes de la entrega final [FECHA PENDIENTE].</w:t>
      </w:r>
    </w:p>
    <w:p>
      <w:pPr>
        <w:spacing w:line="360"/>
        <w:ind w:firstLine="720"/>
        <w:jc w:val="both"/>
      </w:pPr>
      <w:r>
        <w:rPr>
          <w:rFonts w:ascii="Arial" w:cs="Arial" w:eastAsia="Arial" w:hAnsi="Arial"/>
        </w:rPr>
        <w:t xml:space="preserve">OE3. Verificar la eficacia de los controles mediante pruebas de caja negra con OWASP ZAP y Burp Suite y pruebas de caja gris y blanca con MobSF, Frida y objection, ejecutando los 13 casos de abuso definidos (CA-01 a CA-13) dentro de la política de pruebas de AWS y obteniendo para el 100 % de ellos evidencia del bloqueo (respuesta 401, 403 o 429, bloqueo del firewall de aplicaciones o alerta en el SIEM) antes de la entrega final [FECHA PENDIENTE].</w:t>
      </w:r>
    </w:p>
    <w:p>
      <w:pPr>
        <w:spacing w:line="360"/>
        <w:ind w:firstLine="720"/>
        <w:jc w:val="both"/>
      </w:pPr>
      <w:r>
        <w:rPr>
          <w:rFonts w:ascii="Arial" w:cs="Arial" w:eastAsia="Arial" w:hAnsi="Arial"/>
        </w:rPr>
        <w:t xml:space="preserve">OE4. Implementar los 21 controles de diseño definidos (CTRL-01 a CTRL-21), entre ellos el firewall de aplicaciones web, la autoprotección de la aplicación en tiempo de ejecución, el cifrado con llaves propias y el SIEM, y elaborar un plan de mitigación para el 100 % de los hallazgos confirmados, de forma que el riesgo residual verificado no contenga riesgos críticos y todo riesgo alto restante quede justificado y aceptado formalmente antes de la entrega final [FECHA PENDIENTE].</w:t>
      </w:r>
    </w:p>
    <w:p>
      <w:pPr>
        <w:spacing w:line="360"/>
        <w:ind w:firstLine="720"/>
        <w:jc w:val="both"/>
      </w:pPr>
      <w:r>
        <w:rPr>
          <w:rFonts w:ascii="Arial" w:cs="Arial" w:eastAsia="Arial" w:hAnsi="Arial"/>
        </w:rPr>
        <w:t xml:space="preserve">OE5. Elaborar el informe técnico en formato UMG y normas APA 7, con la matriz de calor de riesgo inherente y residual, la trazabilidad amenaza–control–prueba–evidencia–riesgo residual del 100 % de las amenazas y un dictamen fundamentado, y presentarlo con evidencias grabadas, sin demostración en vivo, en la entrega final [FECHA PENDIENTE].</w:t>
      </w:r>
    </w:p>
    <w:p>
      <w:pPr>
        <w:keepNext/>
        <w:spacing w:before="240" w:line="240"/>
      </w:pPr>
      <w:r>
        <w:rPr>
          <w:rFonts w:ascii="Arial" w:cs="Arial" w:eastAsia="Arial" w:hAnsi="Arial"/>
          <w:b/>
          <w:bCs/>
          <w:sz w:val="24"/>
          <w:szCs w:val="24"/>
        </w:rPr>
        <w:t xml:space="preserve">Tabla 2</w:t>
      </w:r>
    </w:p>
    <w:p>
      <w:pPr>
        <w:keepNext/>
        <w:spacing w:after="120" w:line="240"/>
      </w:pPr>
      <w:r>
        <w:rPr>
          <w:rFonts w:ascii="Arial" w:cs="Arial" w:eastAsia="Arial" w:hAnsi="Arial"/>
          <w:i/>
          <w:iCs/>
          <w:sz w:val="24"/>
          <w:szCs w:val="24"/>
        </w:rPr>
        <w:t xml:space="preserve">Indicadores SMART de los objetivos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150"/>
        <w:gridCol w:w="2560"/>
        <w:gridCol w:w="1500"/>
        <w:gridCol w:w="2200"/>
      </w:tblGrid>
      <w:tr>
        <w:trPr>
          <w:tblHeader/>
        </w:trPr>
        <w:tc>
          <w:tcPr>
            <w:tcW w:type="dxa" w:w="95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OE</w:t>
            </w:r>
          </w:p>
        </w:tc>
        <w:tc>
          <w:tcPr>
            <w:tcW w:type="dxa" w:w="215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Indicador</w:t>
            </w:r>
          </w:p>
        </w:tc>
        <w:tc>
          <w:tcPr>
            <w:tcW w:type="dxa" w:w="25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Meta</w:t>
            </w:r>
          </w:p>
        </w:tc>
        <w:tc>
          <w:tcPr>
            <w:tcW w:type="dxa" w:w="15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Plazo</w:t>
            </w:r>
          </w:p>
        </w:tc>
        <w:tc>
          <w:tcPr>
            <w:tcW w:type="dxa" w:w="22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Componente de la rúbrica</w:t>
            </w:r>
          </w:p>
        </w:tc>
      </w:tr>
      <w:tr>
        <w:trPr>
          <w:cantSplit/>
        </w:trPr>
        <w:tc>
          <w:tcPr>
            <w:tcW w:type="dxa"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OE1</w:t>
            </w:r>
          </w:p>
        </w:tc>
        <w:tc>
          <w:tcPr>
            <w:tcW w:type="dxa" w:w="21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Activos inventariados y amenazas valoradas</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 25 activos en 6 tipos; 100 % de amenazas con DREAD y P×I; 7 capas cubiertas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17-oct-2026</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Análisis de Riesgos y Activos</w:t>
            </w:r>
          </w:p>
        </w:tc>
      </w:tr>
      <w:tr>
        <w:trPr>
          <w:cantSplit/>
        </w:trPr>
        <w:tc>
          <w:tcPr>
            <w:tcW w:type="dxa"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OE2</w:t>
            </w:r>
          </w:p>
        </w:tc>
        <w:tc>
          <w:tcPr>
            <w:tcW w:type="dxa" w:w="21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Hallazgos altos o críticos abiertos en la rama principal</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0 sin justificar; flujo con SAST, SCA, secretos e IaC</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Pendiente</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Arquitectura Cloud y DevSecOps</w:t>
            </w:r>
          </w:p>
        </w:tc>
      </w:tr>
      <w:tr>
        <w:trPr>
          <w:cantSplit/>
        </w:trPr>
        <w:tc>
          <w:tcPr>
            <w:tcW w:type="dxa"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OE3</w:t>
            </w:r>
          </w:p>
        </w:tc>
        <w:tc>
          <w:tcPr>
            <w:tcW w:type="dxa" w:w="21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Casos de abuso con evidencia de bloqueo</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13 de 13 (100 %)</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Pendiente</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Implementación de Ciberdefensa</w:t>
            </w:r>
          </w:p>
        </w:tc>
      </w:tr>
      <w:tr>
        <w:trPr>
          <w:cantSplit/>
        </w:trPr>
        <w:tc>
          <w:tcPr>
            <w:tcW w:type="dxa"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OE4</w:t>
            </w:r>
          </w:p>
        </w:tc>
        <w:tc>
          <w:tcPr>
            <w:tcW w:type="dxa" w:w="21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Riesgo residual verificado</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0 críticos; altos solo con aceptación justificada; 100 % de hallazgos con plan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Pendiente</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Implementación de Ciberseguridad</w:t>
            </w:r>
          </w:p>
        </w:tc>
      </w:tr>
      <w:tr>
        <w:trPr>
          <w:cantSplit/>
        </w:trPr>
        <w:tc>
          <w:tcPr>
            <w:tcW w:type="dxa" w:w="95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OE5</w:t>
            </w:r>
          </w:p>
        </w:tc>
        <w:tc>
          <w:tcPr>
            <w:tcW w:type="dxa" w:w="215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Amenazas con trazabilidad completa</w:t>
            </w:r>
          </w:p>
        </w:tc>
        <w:tc>
          <w:tcPr>
            <w:tcW w:type="dxa" w:w="2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100 %; informe en formato UMG y APA 7</w:t>
            </w:r>
          </w:p>
        </w:tc>
        <w:tc>
          <w:tcPr>
            <w:tcW w:type="dxa" w:w="1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Pendiente</w:t>
            </w:r>
          </w:p>
        </w:tc>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Informe Técnico y APA</w:t>
            </w:r>
          </w:p>
        </w:tc>
      </w:tr>
    </w:tbl>
    <w:p>
      <w:pPr>
        <w:spacing w:after="240" w:before="60" w:line="240"/>
      </w:pPr>
      <w:r>
        <w:rPr>
          <w:rFonts w:ascii="Arial" w:cs="Arial" w:eastAsia="Arial" w:hAnsi="Arial"/>
          <w:i/>
          <w:iCs/>
          <w:sz w:val="20"/>
          <w:szCs w:val="20"/>
        </w:rPr>
        <w:t xml:space="preserve">Nota. </w:t>
      </w:r>
      <w:r>
        <w:rPr>
          <w:rFonts w:ascii="Arial" w:cs="Arial" w:eastAsia="Arial" w:hAnsi="Arial"/>
          <w:sz w:val="20"/>
          <w:szCs w:val="20"/>
        </w:rPr>
        <w:t xml:space="preserve">Elaboración propia. Los objetivos son alcanzables porque todas las herramientas son gratuitas o de código abierto y la infraestructura se ajusta al plan gratuito de AWS; son relevantes porque cada uno corresponde a un componente de la rúbrica del curso.</w:t>
      </w:r>
    </w:p>
    <w:p>
      <w:pPr>
        <w:pStyle w:val="Heading2"/>
        <w:spacing w:after="60" w:before="240" w:line="360"/>
      </w:pPr>
      <w:r>
        <w:rPr>
          <w:rFonts w:ascii="Arial" w:cs="Arial" w:eastAsia="Arial" w:hAnsi="Arial"/>
          <w:b/>
          <w:bCs/>
          <w:color w:val="000000"/>
          <w:sz w:val="24"/>
          <w:szCs w:val="24"/>
        </w:rPr>
        <w:t xml:space="preserve">1.3 Alcance</w:t>
      </w:r>
    </w:p>
    <w:p>
      <w:pPr>
        <w:spacing w:line="360"/>
        <w:ind w:firstLine="720"/>
        <w:jc w:val="both"/>
      </w:pPr>
      <w:r>
        <w:rPr>
          <w:rFonts w:ascii="Arial" w:cs="Arial" w:eastAsia="Arial" w:hAnsi="Arial"/>
        </w:rPr>
        <w:t xml:space="preserve">El alcance comprende la aplicación móvil, los servicios en la nube que la soportan y el flujo de desarrollo que los construye y despliega. La Tabla 3 detalla los componentes incluidos y la Tabla 4, los excluidos con su justificación.</w:t>
      </w:r>
    </w:p>
    <w:p>
      <w:pPr>
        <w:keepNext/>
        <w:spacing w:before="240" w:line="240"/>
      </w:pPr>
      <w:r>
        <w:rPr>
          <w:rFonts w:ascii="Arial" w:cs="Arial" w:eastAsia="Arial" w:hAnsi="Arial"/>
          <w:b/>
          <w:bCs/>
          <w:sz w:val="24"/>
          <w:szCs w:val="24"/>
        </w:rPr>
        <w:t xml:space="preserve">Tabla 3</w:t>
      </w:r>
    </w:p>
    <w:p>
      <w:pPr>
        <w:keepNext/>
        <w:spacing w:after="120" w:line="240"/>
      </w:pPr>
      <w:r>
        <w:rPr>
          <w:rFonts w:ascii="Arial" w:cs="Arial" w:eastAsia="Arial" w:hAnsi="Arial"/>
          <w:i/>
          <w:iCs/>
          <w:sz w:val="24"/>
          <w:szCs w:val="24"/>
        </w:rPr>
        <w:t xml:space="preserve">Componentes dentro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Componente</w:t>
            </w:r>
          </w:p>
        </w:tc>
        <w:tc>
          <w:tcPr>
            <w:tcW w:type="dxa" w:w="71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Descripción</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Aplicación móvil</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Q-Wallet para Android, desarrollada en React Native con Expo y TypeScript, con almacenamiento seguro en Android Keystore, autenticación biométrica, fijación de certificados y autoprotección en tiempo de ejecución.</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Servicios de negocio</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Cinco microservicios en AWS Lambda (perfil, cuentas, transferencias, presupuestos y administración), empaquetados como imágenes de contenedor.</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Perímetro en la nube</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Amazon API Gateway REST con autorizador de Amazon Cognito, limitación de solicitudes y AWS WAF.</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Identidad</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Amazon Cognito: OAuth 2.0 con PKCE, segundo factor TOTP y grupo de administradores.</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Datos y secretos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Amazon DynamoDB y Amazon S3 cifrados con una llave KMS propia; secretos en SSM Parameter Store.</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Registro y monitoreo</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Amazon CloudWatch Logs y AWS CloudTrail hacia S3, analizados con el SIEM Wazuh en un equipo local.</w:t>
            </w:r>
          </w:p>
        </w:tc>
      </w:tr>
      <w:tr>
        <w:trPr>
          <w:cantSplit/>
        </w:trP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Flujo DevSecOps</w:t>
            </w:r>
          </w:p>
        </w:tc>
        <w:tc>
          <w:tcPr>
            <w:tcW w:type="dxa" w:w="7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Repositorio público en GitHub, GitHub Actions con despliegue a AWS por OIDC, infraestructura en Terraform y análisis automáticos de seguridad.</w:t>
            </w:r>
          </w:p>
        </w:tc>
      </w:tr>
    </w:tbl>
    <w:p>
      <w:pPr>
        <w:spacing w:after="120"/>
      </w:pPr>
    </w:p>
    <w:p>
      <w:pPr>
        <w:keepNext/>
        <w:spacing w:before="240" w:line="240"/>
      </w:pPr>
      <w:r>
        <w:rPr>
          <w:rFonts w:ascii="Arial" w:cs="Arial" w:eastAsia="Arial" w:hAnsi="Arial"/>
          <w:b/>
          <w:bCs/>
          <w:sz w:val="24"/>
          <w:szCs w:val="24"/>
        </w:rPr>
        <w:t xml:space="preserve">Tabla 4</w:t>
      </w:r>
    </w:p>
    <w:p>
      <w:pPr>
        <w:keepNext/>
        <w:spacing w:after="120" w:line="240"/>
      </w:pPr>
      <w:r>
        <w:rPr>
          <w:rFonts w:ascii="Arial" w:cs="Arial" w:eastAsia="Arial" w:hAnsi="Arial"/>
          <w:i/>
          <w:iCs/>
          <w:sz w:val="24"/>
          <w:szCs w:val="24"/>
        </w:rPr>
        <w:t xml:space="preserve">Elementos fuera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Elemento</w:t>
            </w:r>
          </w:p>
        </w:tc>
        <w:tc>
          <w:tcPr>
            <w:tcW w:type="dxa" w:w="65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Motivo</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iOS y versión web</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Se prioriza una sola plataforma para profundizar en las pruebas de seguridad móviles.</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Dinero, tarjetas y bancos reales</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El proyecto es académico; se usa dinero simulado y no se procesan datos de tarjetas.</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Verificación de identidad (KYC) real</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Requiere integraciones y datos personales reales; se documenta como requisito para una puesta en producción.</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Pruebas de denegación de servicio</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La política de AWS prohíbe la denegación de servicio y la inundación de solicitudes, incluso simulada (AWS, 2026).</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Pruebas sobre servicios de AWS en sí</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AWS no permite evaluar su propia infraestructura; se prueban solo nuestros recursos en los servicios autorizados (AWS, 2026).</w:t>
            </w:r>
          </w:p>
        </w:tc>
      </w:tr>
      <w:tr>
        <w:trPr>
          <w:cantSplit/>
        </w:trPr>
        <w:tc>
          <w:tcPr>
            <w:tcW w:type="dxa" w:w="2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Ingeniería social y seguridad física</w:t>
            </w:r>
          </w:p>
        </w:tc>
        <w:tc>
          <w:tcPr>
            <w:tcW w:type="dxa" w:w="6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Fuera de los objetivos del curso; se tratan como riesgos en la capa de políticas y en la capa física.</w:t>
            </w:r>
          </w:p>
        </w:tc>
      </w:tr>
    </w:tbl>
    <w:p>
      <w:pPr>
        <w:spacing w:after="120"/>
      </w:pPr>
    </w:p>
    <w:p>
      <w:pPr>
        <w:pStyle w:val="Heading3"/>
        <w:spacing w:before="120" w:line="360"/>
      </w:pPr>
      <w:r>
        <w:rPr>
          <w:rFonts w:ascii="Arial" w:cs="Arial" w:eastAsia="Arial" w:hAnsi="Arial"/>
          <w:b/>
          <w:bCs/>
          <w:i/>
          <w:iCs/>
          <w:color w:val="000000"/>
          <w:sz w:val="24"/>
          <w:szCs w:val="24"/>
        </w:rPr>
        <w:t xml:space="preserve">Enfoque seguro desde el diseño</w:t>
      </w:r>
    </w:p>
    <w:p>
      <w:pPr>
        <w:spacing w:line="360"/>
        <w:ind w:firstLine="720"/>
        <w:jc w:val="both"/>
      </w:pPr>
      <w:r>
        <w:rPr>
          <w:rFonts w:ascii="Arial" w:cs="Arial" w:eastAsia="Arial" w:hAnsi="Arial"/>
        </w:rPr>
        <w:t xml:space="preserve">Adoptamos el proceso de gestión de riesgos de ISO/IEC 27005:2022 (International Organization for Standardization [ISO] e International Electrotechnical Commission [IEC], 2022b) para comparar dos momentos. El estado anterior corresponde al riesgo inherente: el riesgo de cada amenaza STRIDE calculado como si no existiera ningún control. El estado posterior corresponde al riesgo residual: el riesgo que permanece con los controles implementados y verificados mediante pruebas. Cada amenaza identificada en esta entrega debe cerrar con la secuencia amenaza, control, caso de prueba, evidencia y riesgo residual. Cualquier debilidad real que detecten las herramientas de análisis se registra como hallazgo y se corrige.</w:t>
      </w:r>
    </w:p>
    <w:p>
      <w:pPr>
        <w:pStyle w:val="Heading3"/>
        <w:spacing w:before="120" w:line="360"/>
      </w:pPr>
      <w:r>
        <w:rPr>
          <w:rFonts w:ascii="Arial" w:cs="Arial" w:eastAsia="Arial" w:hAnsi="Arial"/>
          <w:b/>
          <w:bCs/>
          <w:i/>
          <w:iCs/>
          <w:color w:val="000000"/>
          <w:sz w:val="24"/>
          <w:szCs w:val="24"/>
        </w:rPr>
        <w:t xml:space="preserve">Restricciones</w:t>
      </w:r>
    </w:p>
    <w:p>
      <w:pPr>
        <w:keepNext/>
        <w:spacing w:before="240" w:line="240"/>
      </w:pPr>
      <w:r>
        <w:rPr>
          <w:rFonts w:ascii="Arial" w:cs="Arial" w:eastAsia="Arial" w:hAnsi="Arial"/>
          <w:b/>
          <w:bCs/>
          <w:sz w:val="24"/>
          <w:szCs w:val="24"/>
        </w:rPr>
        <w:t xml:space="preserve">Tabla 5</w:t>
      </w:r>
    </w:p>
    <w:p>
      <w:pPr>
        <w:keepNext/>
        <w:spacing w:after="120" w:line="240"/>
      </w:pPr>
      <w:r>
        <w:rPr>
          <w:rFonts w:ascii="Arial" w:cs="Arial" w:eastAsia="Arial" w:hAnsi="Arial"/>
          <w:i/>
          <w:iCs/>
          <w:sz w:val="24"/>
          <w:szCs w:val="24"/>
        </w:rPr>
        <w:t xml:space="preserve">Restricciones del proyecto y su 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Restricción</w:t>
            </w:r>
          </w:p>
        </w:tc>
        <w:tc>
          <w:tcPr>
            <w:tcW w:type="dxa" w:w="61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Efecto en el proyecto</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Costo cercano a cero (plan gratuito de AWS, alerta de presupuesto en US$5)</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Se excluyen servicios de costo fijo (RDS, NAT Gateway, EC2 permanente, EKS, Shield Advanced). AWS WAF se activa solo durante las ventanas de prueba.</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Sin dominio propio</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Se usa el punto de acceso por defecto de API Gateway con TLS 1.2 o superior. TLS 1.3 queda como riesgo residual aceptado y recomendación futura.</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Política de pruebas de penetración de AWS</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Solo se prueban servicios autorizados, como API Gateway, Lambda y WAF. Amazon Cognito no figura en esa lista, por lo que su inicio de sesión administrado no se ataca directamente. Las pruebas de limitación de solicitudes y de bloqueo del PIN se hacen con ráfagas cortas contra umbrales bajos, sin inundar el servicio (AWS, 2026).</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Presentación sin demostración en vivo</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Toda prueba debe quedar respaldada con captura o video identificado como evidencia (EVD).</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Equipo de tres integrantes y calendario académico</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Se priorizan los controles con mayor reducción de riesgo y se automatizan los análisis en el flujo de integración continua.</w:t>
            </w:r>
          </w:p>
        </w:tc>
      </w:tr>
      <w:tr>
        <w:trPr>
          <w:cantSplit/>
        </w:trPr>
        <w:tc>
          <w:tcPr>
            <w:tcW w:type="dxa" w:w="3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Datos simulados</w:t>
            </w:r>
          </w:p>
        </w:tc>
        <w:tc>
          <w:tcPr>
            <w:tcW w:type="dxa" w:w="6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No se tratan datos personales reales; los números de DPI y de teléfono son ficticios.</w:t>
            </w:r>
          </w:p>
        </w:tc>
      </w:tr>
    </w:tbl>
    <w:p>
      <w:pPr>
        <w:spacing w:after="120"/>
      </w:pPr>
    </w:p>
    <w:p>
      <w:pPr>
        <w:pStyle w:val="Heading2"/>
        <w:spacing w:after="60" w:before="240" w:line="360"/>
      </w:pPr>
      <w:r>
        <w:rPr>
          <w:rFonts w:ascii="Arial" w:cs="Arial" w:eastAsia="Arial" w:hAnsi="Arial"/>
          <w:b/>
          <w:bCs/>
          <w:color w:val="000000"/>
          <w:sz w:val="24"/>
          <w:szCs w:val="24"/>
        </w:rPr>
        <w:t xml:space="preserve">1.4 Normativas y estándares de referencia</w:t>
      </w:r>
    </w:p>
    <w:p>
      <w:pPr>
        <w:spacing w:line="360"/>
        <w:ind w:firstLine="720"/>
        <w:jc w:val="both"/>
      </w:pPr>
      <w:r>
        <w:rPr>
          <w:rFonts w:ascii="Arial" w:cs="Arial" w:eastAsia="Arial" w:hAnsi="Arial"/>
        </w:rPr>
        <w:t xml:space="preserve">La Tabla 6 resume las normas y estándares que guían el proyecto, qué regula cada uno y cómo lo aplicamos en Q-Wallet.</w:t>
      </w:r>
    </w:p>
    <w:p>
      <w:pPr>
        <w:keepNext/>
        <w:spacing w:before="240" w:line="240"/>
      </w:pPr>
      <w:r>
        <w:rPr>
          <w:rFonts w:ascii="Arial" w:cs="Arial" w:eastAsia="Arial" w:hAnsi="Arial"/>
          <w:b/>
          <w:bCs/>
          <w:sz w:val="24"/>
          <w:szCs w:val="24"/>
        </w:rPr>
        <w:t xml:space="preserve">Tabla 6</w:t>
      </w:r>
    </w:p>
    <w:p>
      <w:pPr>
        <w:keepNext/>
        <w:spacing w:after="120" w:line="240"/>
      </w:pPr>
      <w:r>
        <w:rPr>
          <w:rFonts w:ascii="Arial" w:cs="Arial" w:eastAsia="Arial" w:hAnsi="Arial"/>
          <w:i/>
          <w:iCs/>
          <w:sz w:val="24"/>
          <w:szCs w:val="24"/>
        </w:rPr>
        <w:t xml:space="preserve">Normas y estándares aplicados en Q-Wallet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Norma o estándar</w:t>
            </w:r>
          </w:p>
        </w:tc>
        <w:tc>
          <w:tcPr>
            <w:tcW w:type="dxa" w:w="31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Qué regula</w:t>
            </w:r>
          </w:p>
        </w:tc>
        <w:tc>
          <w:tcPr>
            <w:tcW w:type="dxa" w:w="37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240"/>
            </w:pPr>
            <w:r>
              <w:rPr>
                <w:rFonts w:ascii="Arial" w:cs="Arial" w:eastAsia="Arial" w:hAnsi="Arial"/>
                <w:b/>
                <w:bCs/>
                <w:sz w:val="20"/>
                <w:szCs w:val="20"/>
              </w:rPr>
              <w:t xml:space="preserve">Cómo se aplica en Q-Wallet</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ISO/IEC 27001:2022 (ISO e IEC, 2022a)</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Requisitos de un sistema de gestión de seguridad de la información y controles del Anexo A.</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Inventario de activos, clasificación de la información y selección de controles (por ejemplo, criptografía y registro de eventos).</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ISO/IEC 27005:2022 (ISO e IEC, 2022b)</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Guía para gestionar riesgos de seguridad de la información.</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Proceso de identificación, análisis, evaluación y tratamiento; comparación de riesgo inherente y residual.</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OWASP MASVS v2.1.0 y MASTG (OWASP Mobile Application Security Project, 2024)</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Requisitos y pruebas de seguridad para aplicaciones móviles en ocho categorías, incluida la privacidad.</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Requisitos de almacenamiento, red, autenticación, resiliencia y privacidad de la aplicación Android y guía de las pruebas móviles.</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OWASP API Security Top 10 2023 (OWASP Foundation, 2023)</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Riesgos más críticos de las API.</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Controles de autorización por objeto y por función, exposición de datos, consumo de recursos y lógica de negocio en los cinco servicios.</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OWASP Top 10:2025 (OWASP Foundation, 2025)</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Riesgos más críticos de las aplicaciones web.</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Referencia complementaria para el servidor, incluida la nueva categoría de fallas en la cadena de suministro de software.</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STRIDE (Shostack, 2014)</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Clasificación de amenazas: suplantación, manipulación, repudio, divulgación, denegación de servicio y elevación de privilegios.</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Modelado de amenazas sobre los diagramas de flujo de datos, por elemento y por frontera de confianza.</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DREAD (Howard y LeBlanc, 2003)</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Valoración de amenazas por daño, reproducibilidad, explotabilidad, usuarios afectados y facilidad de descubrimiento.</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Puntaje de cada amenaza y conversión a probabilidad e impacto de la matriz 5×5.</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NIST CSF 2.0 (National Institute of Standards and Technology [NIST], 2024)</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Marco de gestión de riesgos de ciberseguridad con seis funciones: gobernar, identificar, proteger, detectar, responder y recuperar.</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Organización de los controles y de la detección y respuesta con el SIEM.</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PCI DSS v4.0.1 (PCI Security Standards Council, 2024)</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Seguridad de los datos de tarjetas de pago.</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Solo como referencia de buenas prácticas; Q-Wallet no procesa ni almacena tarjetas.</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Resolución JM-104-2021 (Junta Monetaria, 2021)</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Administración del riesgo tecnológico en las entidades supervisadas por la SIB.</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Referencia para el gobierno del riesgo tecnológico, la ciberseguridad y la gestión de incidentes. Q-Wallet está diseñada con referencia a esta norma; no se afirma su cumplimiento.</w:t>
            </w:r>
          </w:p>
        </w:tc>
      </w:tr>
      <w:tr>
        <w:trPr>
          <w:cantSplit/>
        </w:trP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Decreto 67-2001, Ley contra el Lavado de Dinero u Otros Activos (Congreso de la República de Guatemala, 2001)</w:t>
            </w:r>
          </w:p>
        </w:tc>
        <w:tc>
          <w:tcPr>
            <w:tcW w:type="dxa" w:w="3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Prevención del lavado de dinero; obligaciones de identificación de clientes y registro de operaciones.</w:t>
            </w:r>
          </w:p>
        </w:tc>
        <w:tc>
          <w:tcPr>
            <w:tcW w:type="dxa" w:w="37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Arial" w:cs="Arial" w:eastAsia="Arial" w:hAnsi="Arial"/>
                <w:b w:val="false"/>
                <w:bCs w:val="false"/>
                <w:sz w:val="20"/>
                <w:szCs w:val="20"/>
              </w:rPr>
              <w:t xml:space="preserve">Contexto de la verificación de identidad, que queda fuera del alcance; la auditoría y la trazabilidad de transferencias sirven de base para una implementación futura.</w:t>
            </w:r>
          </w:p>
        </w:tc>
      </w:tr>
    </w:tbl>
    <w:p>
      <w:pPr>
        <w:spacing w:after="120"/>
      </w:pPr>
    </w:p>
    <w:p>
      <w:pPr>
        <w:spacing w:line="360"/>
        <w:ind w:firstLine="720"/>
        <w:jc w:val="both"/>
      </w:pPr>
      <w:r>
        <w:rPr>
          <w:rFonts w:ascii="Arial" w:cs="Arial" w:eastAsia="Arial" w:hAnsi="Arial"/>
        </w:rPr>
        <w:t xml:space="preserve">Es necesario precisar el alcance de las normas guatemaltecas. La Resolución JM-104-2021 obliga a las entidades bajo la supervisión de la SIB; Q-Wallet, S.A. es una empresa ficticia que no está supervisada, por lo que usamos el reglamento como marco de referencia del diseño y no declaramos su cumplimiento, que solo podría establecerse mediante una evaluación formal. Tampoco determinamos si una billetera de este tipo requeriría autorización de la SIB para operar con dinero real [VERIFICAR].</w:t>
      </w:r>
    </w:p>
    <w:p>
      <w:pPr>
        <w:spacing w:line="360"/>
        <w:ind w:firstLine="720"/>
        <w:jc w:val="both"/>
      </w:pPr>
      <w:r>
        <w:rPr>
          <w:rFonts w:ascii="Arial" w:cs="Arial" w:eastAsia="Arial" w:hAnsi="Arial"/>
        </w:rPr>
        <w:t xml:space="preserve">En cuanto a datos personales, Guatemala no cuenta con una ley general de protección de datos aplicable al sector privado: la Ley de Acceso a la Información Pública, Decreto 57-2008, regula principalmente la información en poder del Estado (Congreso de la República de Guatemala, 2008). En julio de 2026, la Comisión de Asuntos de Seguridad Nacional del Congreso continuaba el análisis de la iniciativa 6464, que propone una ley de protección de datos personales y garantía de derechos digitales (Emisoras Unidas, 2026) [VERIFICAR estado a la fecha de entrega]. Mientras no exista esa ley, adoptamos como referencia la categoría de privacidad de OWASP MASVS: minimizar los datos recolectados y enmascarar el DPI y el número de teléfono en las respuestas de la aplicación.</w:t>
      </w:r>
    </w:p>
    <w:p>
      <w:pPr>
        <w:pageBreakBefore/>
        <w:spacing w:after="120" w:line="360"/>
        <w:jc w:val="center"/>
      </w:pPr>
      <w:r>
        <w:rPr>
          <w:rFonts w:ascii="Arial" w:cs="Arial" w:eastAsia="Arial" w:hAnsi="Arial"/>
          <w:b/>
          <w:bCs/>
          <w:sz w:val="24"/>
          <w:szCs w:val="24"/>
        </w:rPr>
        <w:t xml:space="preserve">Referencias (secciones 1.1 a 1.4)</w:t>
      </w:r>
    </w:p>
    <w:p>
      <w:pPr>
        <w:spacing w:line="360"/>
        <w:ind w:left="720" w:hanging="720"/>
        <w:jc w:val="left"/>
      </w:pPr>
      <w:r>
        <w:rPr>
          <w:rFonts w:ascii="Arial" w:cs="Arial" w:eastAsia="Arial" w:hAnsi="Arial"/>
        </w:rPr>
        <w:t xml:space="preserve">Amazon Web Services. (s.f.). </w:t>
      </w:r>
      <w:r>
        <w:rPr>
          <w:rFonts w:ascii="Arial" w:cs="Arial" w:eastAsia="Arial" w:hAnsi="Arial"/>
          <w:i/>
          <w:iCs/>
        </w:rPr>
        <w:t xml:space="preserve">Guatemala: Financial services compliance center</w:t>
      </w:r>
      <w:r>
        <w:rPr>
          <w:rFonts w:ascii="Arial" w:cs="Arial" w:eastAsia="Arial" w:hAnsi="Arial"/>
        </w:rPr>
        <w:t xml:space="preserve">. Recuperado el 10 de octubre de 2026, de https://aws.amazon.com/financial-services/security-compliance/compliance-center/gt</w:t>
      </w:r>
    </w:p>
    <w:p>
      <w:pPr>
        <w:spacing w:line="360"/>
        <w:ind w:left="720" w:hanging="720"/>
        <w:jc w:val="left"/>
      </w:pPr>
      <w:r>
        <w:rPr>
          <w:rFonts w:ascii="Arial" w:cs="Arial" w:eastAsia="Arial" w:hAnsi="Arial"/>
        </w:rPr>
        <w:t xml:space="preserve">Amazon Web Services. (2026). </w:t>
      </w:r>
      <w:r>
        <w:rPr>
          <w:rFonts w:ascii="Arial" w:cs="Arial" w:eastAsia="Arial" w:hAnsi="Arial"/>
          <w:i/>
          <w:iCs/>
        </w:rPr>
        <w:t xml:space="preserve">Penetration testing</w:t>
      </w:r>
      <w:r>
        <w:rPr>
          <w:rFonts w:ascii="Arial" w:cs="Arial" w:eastAsia="Arial" w:hAnsi="Arial"/>
        </w:rPr>
        <w:t xml:space="preserve">. Recuperado el 10 de octubre de 2026, de https://aws.amazon.com/security/penetration-testing/</w:t>
      </w:r>
    </w:p>
    <w:p>
      <w:pPr>
        <w:spacing w:line="360"/>
        <w:ind w:left="720" w:hanging="720"/>
        <w:jc w:val="left"/>
      </w:pPr>
      <w:r>
        <w:rPr>
          <w:rFonts w:ascii="Arial" w:cs="Arial" w:eastAsia="Arial" w:hAnsi="Arial"/>
        </w:rPr>
        <w:t xml:space="preserve">Congreso de la República de Guatemala. (2001). </w:t>
      </w:r>
      <w:r>
        <w:rPr>
          <w:rFonts w:ascii="Arial" w:cs="Arial" w:eastAsia="Arial" w:hAnsi="Arial"/>
          <w:i/>
          <w:iCs/>
        </w:rPr>
        <w:t xml:space="preserve">Decreto Número 67-2001: Ley contra el Lavado de Dinero u Otros Activos</w:t>
      </w:r>
      <w:r>
        <w:rPr>
          <w:rFonts w:ascii="Arial" w:cs="Arial" w:eastAsia="Arial" w:hAnsi="Arial"/>
        </w:rPr>
        <w:t xml:space="preserve">. [VERIFICAR URL oficial]</w:t>
      </w:r>
    </w:p>
    <w:p>
      <w:pPr>
        <w:spacing w:line="360"/>
        <w:ind w:left="720" w:hanging="720"/>
        <w:jc w:val="left"/>
      </w:pPr>
      <w:r>
        <w:rPr>
          <w:rFonts w:ascii="Arial" w:cs="Arial" w:eastAsia="Arial" w:hAnsi="Arial"/>
        </w:rPr>
        <w:t xml:space="preserve">Congreso de la República de Guatemala. (2008). </w:t>
      </w:r>
      <w:r>
        <w:rPr>
          <w:rFonts w:ascii="Arial" w:cs="Arial" w:eastAsia="Arial" w:hAnsi="Arial"/>
          <w:i/>
          <w:iCs/>
        </w:rPr>
        <w:t xml:space="preserve">Decreto Número 57-2008: Ley de Acceso a la Información Pública</w:t>
      </w:r>
      <w:r>
        <w:rPr>
          <w:rFonts w:ascii="Arial" w:cs="Arial" w:eastAsia="Arial" w:hAnsi="Arial"/>
        </w:rPr>
        <w:t xml:space="preserve">. [VERIFICAR URL oficial]</w:t>
      </w:r>
    </w:p>
    <w:p>
      <w:pPr>
        <w:spacing w:line="360"/>
        <w:ind w:left="720" w:hanging="720"/>
        <w:jc w:val="left"/>
      </w:pPr>
      <w:r>
        <w:rPr>
          <w:rFonts w:ascii="Arial" w:cs="Arial" w:eastAsia="Arial" w:hAnsi="Arial"/>
        </w:rPr>
        <w:t xml:space="preserve">Emisoras Unidas. (2026, 16 de julio). </w:t>
      </w:r>
      <w:r>
        <w:rPr>
          <w:rFonts w:ascii="Arial" w:cs="Arial" w:eastAsia="Arial" w:hAnsi="Arial"/>
          <w:i/>
          <w:iCs/>
        </w:rPr>
        <w:t xml:space="preserve">Comisión de Asuntos de Seguridad analiza Iniciativa de Ley de Protección de Datos Personales</w:t>
      </w:r>
      <w:r>
        <w:rPr>
          <w:rFonts w:ascii="Arial" w:cs="Arial" w:eastAsia="Arial" w:hAnsi="Arial"/>
        </w:rPr>
        <w:t xml:space="preserve">. https://emisorasunidas.com/nacional/2026/07/16/comision-de-asuntos-de-seguridad-analiza-iniciativa-de-ley-de-proteccion-de-datos-personales/</w:t>
      </w:r>
    </w:p>
    <w:p>
      <w:pPr>
        <w:spacing w:line="360"/>
        <w:ind w:left="720" w:hanging="720"/>
        <w:jc w:val="left"/>
      </w:pPr>
      <w:r>
        <w:rPr>
          <w:rFonts w:ascii="Arial" w:cs="Arial" w:eastAsia="Arial" w:hAnsi="Arial"/>
        </w:rPr>
        <w:t xml:space="preserve">Estrategia &amp; Negocios. (2025, 17 de julio). </w:t>
      </w:r>
      <w:r>
        <w:rPr>
          <w:rFonts w:ascii="Arial" w:cs="Arial" w:eastAsia="Arial" w:hAnsi="Arial"/>
          <w:i/>
          <w:iCs/>
        </w:rPr>
        <w:t xml:space="preserve">Ranking de bancarización de los países de Centroamérica, según el informe Global Findex</w:t>
      </w:r>
      <w:r>
        <w:rPr>
          <w:rFonts w:ascii="Arial" w:cs="Arial" w:eastAsia="Arial" w:hAnsi="Arial"/>
        </w:rPr>
        <w:t xml:space="preserve">. https://www.revistaeyn.com/finanzas/ranking-de-bancarizacion-de-los-paises-de-centroamerica-segun-el-informe-global-findex-OG26642185</w:t>
      </w:r>
    </w:p>
    <w:p>
      <w:pPr>
        <w:spacing w:line="360"/>
        <w:ind w:left="720" w:hanging="720"/>
        <w:jc w:val="left"/>
      </w:pPr>
      <w:r>
        <w:rPr>
          <w:rFonts w:ascii="Arial" w:cs="Arial" w:eastAsia="Arial" w:hAnsi="Arial"/>
        </w:rPr>
        <w:t xml:space="preserve">Finnovista, Banco Interamericano de Desarrollo y BID Invest. (2024). </w:t>
      </w:r>
      <w:r>
        <w:rPr>
          <w:rFonts w:ascii="Arial" w:cs="Arial" w:eastAsia="Arial" w:hAnsi="Arial"/>
          <w:i/>
          <w:iCs/>
        </w:rPr>
        <w:t xml:space="preserve">Fintech en América Latina y el Caribe: Un ecosistema consolidado con potencial para aportar a la inclusión financiera regional</w:t>
      </w:r>
      <w:r>
        <w:rPr>
          <w:rFonts w:ascii="Arial" w:cs="Arial" w:eastAsia="Arial" w:hAnsi="Arial"/>
        </w:rPr>
        <w:t xml:space="preserve"> (Monografía del BID n.º 1220). Banco Interamericano de Desarrollo. https://publications.iadb.org/publications/spanish/document/Fintech-en-America-Latina-y-el-Caribe-un-ecosistema-consolidado-con-potencial-para-aportar-a-la-inclusion-fianciera-regional.pdf</w:t>
      </w:r>
    </w:p>
    <w:p>
      <w:pPr>
        <w:spacing w:line="360"/>
        <w:ind w:left="720" w:hanging="720"/>
        <w:jc w:val="left"/>
      </w:pPr>
      <w:r>
        <w:rPr>
          <w:rFonts w:ascii="Arial" w:cs="Arial" w:eastAsia="Arial" w:hAnsi="Arial"/>
        </w:rPr>
        <w:t xml:space="preserve">Howard, M. y LeBlanc, D. (2003). </w:t>
      </w:r>
      <w:r>
        <w:rPr>
          <w:rFonts w:ascii="Arial" w:cs="Arial" w:eastAsia="Arial" w:hAnsi="Arial"/>
          <w:i/>
          <w:iCs/>
        </w:rPr>
        <w:t xml:space="preserve">Writing secure code</w:t>
      </w:r>
      <w:r>
        <w:rPr>
          <w:rFonts w:ascii="Arial" w:cs="Arial" w:eastAsia="Arial" w:hAnsi="Arial"/>
        </w:rPr>
        <w:t xml:space="preserve"> (2.ª ed.). Microsoft Press.</w:t>
      </w:r>
    </w:p>
    <w:p>
      <w:pPr>
        <w:spacing w:line="360"/>
        <w:ind w:left="720" w:hanging="720"/>
        <w:jc w:val="left"/>
      </w:pPr>
      <w:r>
        <w:rPr>
          <w:rFonts w:ascii="Arial" w:cs="Arial" w:eastAsia="Arial" w:hAnsi="Arial"/>
        </w:rPr>
        <w:t xml:space="preserve">International Organization for Standardization e International Electrotechnical Commission. (2022a). </w:t>
      </w:r>
      <w:r>
        <w:rPr>
          <w:rFonts w:ascii="Arial" w:cs="Arial" w:eastAsia="Arial" w:hAnsi="Arial"/>
          <w:i/>
          <w:iCs/>
        </w:rPr>
        <w:t xml:space="preserve">Information security, cybersecurity and privacy protection — Information security management systems — Requirements</w:t>
      </w:r>
      <w:r>
        <w:rPr>
          <w:rFonts w:ascii="Arial" w:cs="Arial" w:eastAsia="Arial" w:hAnsi="Arial"/>
        </w:rPr>
        <w:t xml:space="preserve"> (ISO/IEC 27001:2022).</w:t>
      </w:r>
    </w:p>
    <w:p>
      <w:pPr>
        <w:spacing w:line="360"/>
        <w:ind w:left="720" w:hanging="720"/>
        <w:jc w:val="left"/>
      </w:pPr>
      <w:r>
        <w:rPr>
          <w:rFonts w:ascii="Arial" w:cs="Arial" w:eastAsia="Arial" w:hAnsi="Arial"/>
        </w:rPr>
        <w:t xml:space="preserve">International Organization for Standardization e International Electrotechnical Commission. (2022b). </w:t>
      </w:r>
      <w:r>
        <w:rPr>
          <w:rFonts w:ascii="Arial" w:cs="Arial" w:eastAsia="Arial" w:hAnsi="Arial"/>
          <w:i/>
          <w:iCs/>
        </w:rPr>
        <w:t xml:space="preserve">Information security, cybersecurity and privacy protection — Guidance on managing information security risks</w:t>
      </w:r>
      <w:r>
        <w:rPr>
          <w:rFonts w:ascii="Arial" w:cs="Arial" w:eastAsia="Arial" w:hAnsi="Arial"/>
        </w:rPr>
        <w:t xml:space="preserve"> (ISO/IEC 27005:2022).</w:t>
      </w:r>
    </w:p>
    <w:p>
      <w:pPr>
        <w:spacing w:line="360"/>
        <w:ind w:left="720" w:hanging="720"/>
        <w:jc w:val="left"/>
      </w:pPr>
      <w:r>
        <w:rPr>
          <w:rFonts w:ascii="Arial" w:cs="Arial" w:eastAsia="Arial" w:hAnsi="Arial"/>
        </w:rPr>
        <w:t xml:space="preserve">Junta Monetaria. (2021). </w:t>
      </w:r>
      <w:r>
        <w:rPr>
          <w:rFonts w:ascii="Arial" w:cs="Arial" w:eastAsia="Arial" w:hAnsi="Arial"/>
          <w:i/>
          <w:iCs/>
        </w:rPr>
        <w:t xml:space="preserve">Resolución JM-104-2021: Reglamento para la Administración del Riesgo Tecnológico</w:t>
      </w:r>
      <w:r>
        <w:rPr>
          <w:rFonts w:ascii="Arial" w:cs="Arial" w:eastAsia="Arial" w:hAnsi="Arial"/>
        </w:rPr>
        <w:t xml:space="preserve">. Superintendencia de Bancos de Guatemala. [VERIFICAR fecha de emisión y URL oficial de la SIB]</w:t>
      </w:r>
    </w:p>
    <w:p>
      <w:pPr>
        <w:spacing w:line="360"/>
        <w:ind w:left="720" w:hanging="720"/>
        <w:jc w:val="left"/>
      </w:pPr>
      <w:r>
        <w:rPr>
          <w:rFonts w:ascii="Arial" w:cs="Arial" w:eastAsia="Arial" w:hAnsi="Arial"/>
        </w:rPr>
        <w:t xml:space="preserve">National Institute of Standards and Technology. (2024). </w:t>
      </w:r>
      <w:r>
        <w:rPr>
          <w:rFonts w:ascii="Arial" w:cs="Arial" w:eastAsia="Arial" w:hAnsi="Arial"/>
          <w:i/>
          <w:iCs/>
        </w:rPr>
        <w:t xml:space="preserve">The NIST Cybersecurity Framework (CSF) 2.0</w:t>
      </w:r>
      <w:r>
        <w:rPr>
          <w:rFonts w:ascii="Arial" w:cs="Arial" w:eastAsia="Arial" w:hAnsi="Arial"/>
        </w:rPr>
        <w:t xml:space="preserve"> (NIST CSWP 29). https://doi.org/10.6028/NIST.CSWP.29</w:t>
      </w:r>
    </w:p>
    <w:p>
      <w:pPr>
        <w:spacing w:line="360"/>
        <w:ind w:left="720" w:hanging="720"/>
        <w:jc w:val="left"/>
      </w:pPr>
      <w:r>
        <w:rPr>
          <w:rFonts w:ascii="Arial" w:cs="Arial" w:eastAsia="Arial" w:hAnsi="Arial"/>
        </w:rPr>
        <w:t xml:space="preserve">OWASP Foundation. (2023). </w:t>
      </w:r>
      <w:r>
        <w:rPr>
          <w:rFonts w:ascii="Arial" w:cs="Arial" w:eastAsia="Arial" w:hAnsi="Arial"/>
          <w:i/>
          <w:iCs/>
        </w:rPr>
        <w:t xml:space="preserve">OWASP API Security Top 10 2023</w:t>
      </w:r>
      <w:r>
        <w:rPr>
          <w:rFonts w:ascii="Arial" w:cs="Arial" w:eastAsia="Arial" w:hAnsi="Arial"/>
        </w:rPr>
        <w:t xml:space="preserve">. https://owasp.org/API-Security/editions/2023/en/0x11-t10/</w:t>
      </w:r>
    </w:p>
    <w:p>
      <w:pPr>
        <w:spacing w:line="360"/>
        <w:ind w:left="720" w:hanging="720"/>
        <w:jc w:val="left"/>
      </w:pPr>
      <w:r>
        <w:rPr>
          <w:rFonts w:ascii="Arial" w:cs="Arial" w:eastAsia="Arial" w:hAnsi="Arial"/>
        </w:rPr>
        <w:t xml:space="preserve">OWASP Foundation. (2025). </w:t>
      </w:r>
      <w:r>
        <w:rPr>
          <w:rFonts w:ascii="Arial" w:cs="Arial" w:eastAsia="Arial" w:hAnsi="Arial"/>
          <w:i/>
          <w:iCs/>
        </w:rPr>
        <w:t xml:space="preserve">OWASP Top 10:2025</w:t>
      </w:r>
      <w:r>
        <w:rPr>
          <w:rFonts w:ascii="Arial" w:cs="Arial" w:eastAsia="Arial" w:hAnsi="Arial"/>
        </w:rPr>
        <w:t xml:space="preserve">. https://owasp.org/Top10/2025/</w:t>
      </w:r>
    </w:p>
    <w:p>
      <w:pPr>
        <w:spacing w:line="360"/>
        <w:ind w:left="720" w:hanging="720"/>
        <w:jc w:val="left"/>
      </w:pPr>
      <w:r>
        <w:rPr>
          <w:rFonts w:ascii="Arial" w:cs="Arial" w:eastAsia="Arial" w:hAnsi="Arial"/>
        </w:rPr>
        <w:t xml:space="preserve">OWASP Mobile Application Security Project. (2024). </w:t>
      </w:r>
      <w:r>
        <w:rPr>
          <w:rFonts w:ascii="Arial" w:cs="Arial" w:eastAsia="Arial" w:hAnsi="Arial"/>
          <w:i/>
          <w:iCs/>
        </w:rPr>
        <w:t xml:space="preserve">OWASP Mobile Application Security Verification Standard (MASVS)</w:t>
      </w:r>
      <w:r>
        <w:rPr>
          <w:rFonts w:ascii="Arial" w:cs="Arial" w:eastAsia="Arial" w:hAnsi="Arial"/>
        </w:rPr>
        <w:t xml:space="preserve"> (versión 2.1.0). https://mas.owasp.org/MASVS/</w:t>
      </w:r>
    </w:p>
    <w:p>
      <w:pPr>
        <w:spacing w:line="360"/>
        <w:ind w:left="720" w:hanging="720"/>
        <w:jc w:val="left"/>
      </w:pPr>
      <w:r>
        <w:rPr>
          <w:rFonts w:ascii="Arial" w:cs="Arial" w:eastAsia="Arial" w:hAnsi="Arial"/>
        </w:rPr>
        <w:t xml:space="preserve">PCI Security Standards Council. (2024). </w:t>
      </w:r>
      <w:r>
        <w:rPr>
          <w:rFonts w:ascii="Arial" w:cs="Arial" w:eastAsia="Arial" w:hAnsi="Arial"/>
          <w:i/>
          <w:iCs/>
        </w:rPr>
        <w:t xml:space="preserve">Payment Card Industry Data Security Standard</w:t>
      </w:r>
      <w:r>
        <w:rPr>
          <w:rFonts w:ascii="Arial" w:cs="Arial" w:eastAsia="Arial" w:hAnsi="Arial"/>
        </w:rPr>
        <w:t xml:space="preserve"> (versión 4.0.1). https://www.pcisecuritystandards.org/</w:t>
      </w:r>
    </w:p>
    <w:p>
      <w:pPr>
        <w:spacing w:line="360"/>
        <w:ind w:left="720" w:hanging="720"/>
        <w:jc w:val="left"/>
      </w:pPr>
      <w:r>
        <w:rPr>
          <w:rFonts w:ascii="Arial" w:cs="Arial" w:eastAsia="Arial" w:hAnsi="Arial"/>
        </w:rPr>
        <w:t xml:space="preserve">Shostack, A. (2014). </w:t>
      </w:r>
      <w:r>
        <w:rPr>
          <w:rFonts w:ascii="Arial" w:cs="Arial" w:eastAsia="Arial" w:hAnsi="Arial"/>
          <w:i/>
          <w:iCs/>
        </w:rPr>
        <w:t xml:space="preserve">Threat modeling: Designing for security</w:t>
      </w:r>
      <w:r>
        <w:rPr>
          <w:rFonts w:ascii="Arial" w:cs="Arial" w:eastAsia="Arial" w:hAnsi="Arial"/>
        </w:rPr>
        <w:t xml:space="preserve">. Wiley.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Q-Wallet — Secciones 1.1 a 1.4</dc:title>
  <dc:creator>Grupo Q-Wallet</dc:creator>
  <cp:lastModifiedBy>Un-named</cp:lastModifiedBy>
  <cp:revision>1</cp:revision>
  <dcterms:created xsi:type="dcterms:W3CDTF">2026-10-10T15:23:58.949Z</dcterms:created>
  <dcterms:modified xsi:type="dcterms:W3CDTF">2026-10-10T15:23:58.950Z</dcterms:modified>
</cp:coreProperties>
</file>

<file path=docProps/custom.xml><?xml version="1.0" encoding="utf-8"?>
<Properties xmlns="http://schemas.openxmlformats.org/officeDocument/2006/custom-properties" xmlns:vt="http://schemas.openxmlformats.org/officeDocument/2006/docPropsVTypes"/>
</file>