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line="360" w:lineRule="auto"/>
      </w:pPr>
      <w:r>
        <w:rPr>
          <w:rFonts w:ascii="Arial" w:cs="Arial" w:eastAsia="Arial" w:hAnsi="Arial"/>
          <w:b/>
          <w:bCs/>
          <w:color w:val="0B1F3A"/>
          <w:sz w:val="28"/>
          <w:szCs w:val="28"/>
        </w:rPr>
        <w:t xml:space="preserve">1.5   Definición del scope técnico</w:t>
      </w:r>
    </w:p>
    <w:p>
      <w:pPr>
        <w:spacing w:after="120" w:line="360" w:lineRule="auto"/>
        <w:ind w:firstLine="720"/>
        <w:jc w:val="both"/>
      </w:pPr>
      <w:r>
        <w:rPr>
          <w:rFonts w:ascii="Arial" w:cs="Arial" w:eastAsia="Arial" w:hAnsi="Arial"/>
          <w:b w:val="false"/>
          <w:bCs w:val="false"/>
          <w:sz w:val="24"/>
          <w:szCs w:val="24"/>
        </w:rPr>
        <w:t xml:space="preserve">En esta sección delimitamos el alcance técnico sobre el que se construye y se evaluará Q-Wallet. Describimos la arquitectura de la solución y ubicamos en ella los controles de seguridad, detallamos la superficie de la interfaz de programación de aplicaciones (API), las fronteras de confianza, las herramientas que usaremos en cada fase del ciclo de vida de desarrollo de software seguro (SSDLC) y las reglas de enfrentamiento que regirán las pruebas de intrusión. El propósito es que toda afirmación técnica de las entregas siguientes tenga un referente claro en esta definición, dado que la evaluación no contempla una demostración en vivo.</w:t>
      </w:r>
    </w:p>
    <w:p>
      <w:pPr>
        <w:pStyle w:val="Heading2"/>
        <w:spacing w:after="100" w:before="200" w:line="360" w:lineRule="auto"/>
      </w:pPr>
      <w:r>
        <w:rPr>
          <w:rFonts w:ascii="Arial" w:cs="Arial" w:eastAsia="Arial" w:hAnsi="Arial"/>
          <w:b/>
          <w:bCs/>
          <w:color w:val="0F172A"/>
          <w:sz w:val="24"/>
          <w:szCs w:val="24"/>
        </w:rPr>
        <w:t xml:space="preserve">1.5.1   Arquitectura de la solución</w:t>
      </w:r>
    </w:p>
    <w:p>
      <w:pPr>
        <w:spacing w:after="120" w:line="360" w:lineRule="auto"/>
        <w:ind w:firstLine="720"/>
        <w:jc w:val="both"/>
      </w:pPr>
      <w:r>
        <w:rPr>
          <w:rFonts w:ascii="Arial" w:cs="Arial" w:eastAsia="Arial" w:hAnsi="Arial"/>
          <w:b w:val="false"/>
          <w:bCs w:val="false"/>
          <w:sz w:val="24"/>
          <w:szCs w:val="24"/>
        </w:rPr>
        <w:t xml:space="preserve">Q-Wallet se construye con una arquitectura sin servidor (serverless) desplegada en la región us-east-1 de Amazon Web Services (AWS) y una aplicación móvil nativa de Android. La aplicación, desarrollada con React Native y Expo, concentra los controles del lado del cliente: almacena los tokens de sesión en el Android Keystore mediante expo-secure-store con autenticación biométrica, protege las pantallas sensibles con FLAG_SECURE y aplica protección en tiempo de ejecución (RASP) con freeRASP. Toda solicitud viaja sobre TLS 1.2 o superior con fijación de llaves públicas (pinning) de la autoridad raíz de Amazon; dado que el proyecto no cuenta con un dominio propio y usa el extremo execute-api por defecto, TLS 1.3 queda como riesgo residual aceptado y como recomendación del roadmap.</w:t>
      </w:r>
    </w:p>
    <w:p>
      <w:pPr>
        <w:spacing w:after="120" w:line="360" w:lineRule="auto"/>
        <w:ind w:firstLine="720"/>
        <w:jc w:val="both"/>
      </w:pPr>
      <w:r>
        <w:rPr>
          <w:rFonts w:ascii="Arial" w:cs="Arial" w:eastAsia="Arial" w:hAnsi="Arial"/>
          <w:b w:val="false"/>
          <w:bCs w:val="false"/>
          <w:sz w:val="24"/>
          <w:szCs w:val="24"/>
        </w:rPr>
        <w:t xml:space="preserve">El tráfico entrante atraviesa primero AWS WAF y luego Amazon API Gateway (tipo REST), que valida el token mediante un autorizador de Amazon Cognito. La autenticación se resuelve con el flujo OAuth2 Authorization Code con PKCE y segundo factor TOTP contra el inicio de sesión administrado de Cognito. Detrás del borde, cinco funciones AWS Lambda (svc-profile, svc-accounts, svc-transfers, svc-budgets y svc-admin), empaquetadas como imágenes de contenedor en Amazon ECR y con un rol IAM de menor privilegio cada una, concentran la lógica de negocio. Los datos residen en Amazon DynamoDB cifrado con una llave administrada por el cliente (KMS CMK); los secretos, en SSM Parameter Store como SecureString. La trazabilidad se apoya en CloudWatch Logs y CloudTrail, que se exportan a S3 y se correlacionan en un SIEM Wazuh local. El despliegue se realiza desde GitHub Actions hacia AWS mediante OIDC, sin llaves estáticas, sobre una rama main protegida. La aplicación se construye con todos los controles desde el diseño; no existe una versión vulnerable, y el riesgo inherente del modelo de amenazas representa el escenario sin controles, no una etapa del producto. La Figura 1 muestra la arquitectura con las seis fronteras de confianza y la ubicación de cada control.</w:t>
      </w:r>
    </w:p>
    <w:p>
      <w:pPr>
        <w:spacing w:after="0" w:before="120" w:line="240" w:lineRule="auto"/>
      </w:pPr>
      <w:r>
        <w:rPr>
          <w:rFonts w:ascii="Arial" w:cs="Arial" w:eastAsia="Arial" w:hAnsi="Arial"/>
          <w:b/>
          <w:bCs/>
          <w:sz w:val="24"/>
          <w:szCs w:val="24"/>
        </w:rPr>
        <w:t xml:space="preserve">Figura 1</w:t>
      </w:r>
    </w:p>
    <w:p>
      <w:pPr>
        <w:spacing w:after="80" w:line="240" w:lineRule="auto"/>
      </w:pPr>
      <w:r>
        <w:rPr>
          <w:rFonts w:ascii="Arial" w:cs="Arial" w:eastAsia="Arial" w:hAnsi="Arial"/>
          <w:i/>
          <w:iCs/>
          <w:sz w:val="24"/>
          <w:szCs w:val="24"/>
        </w:rPr>
        <w:t xml:space="preserve">Arquitectura de seguridad de Q-Wallet con fronteras de confianza y controles</w:t>
      </w:r>
    </w:p>
    <w:p>
      <w:pPr>
        <w:spacing w:after="60"/>
        <w:jc w:val="center"/>
      </w:pPr>
      <w:r>
        <w:drawing>
          <wp:inline distT="0" distB="0" distL="0" distR="0">
            <wp:extent cx="59436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867150"/>
                    </a:xfrm>
                    <a:prstGeom prst="rect">
                      <a:avLst/>
                    </a:prstGeom>
                  </pic:spPr>
                </pic:pic>
              </a:graphicData>
            </a:graphic>
          </wp:inline>
        </w:drawing>
      </w:r>
    </w:p>
    <w:p>
      <w:pPr>
        <w:spacing w:after="160" w:before="40" w:line="240" w:lineRule="auto"/>
      </w:pPr>
      <w:r>
        <w:rPr>
          <w:rFonts w:ascii="Arial" w:cs="Arial" w:eastAsia="Arial" w:hAnsi="Arial"/>
          <w:i/>
          <w:iCs/>
          <w:sz w:val="20"/>
          <w:szCs w:val="20"/>
        </w:rPr>
        <w:t xml:space="preserve">Nota. </w:t>
      </w:r>
      <w:r>
        <w:rPr>
          <w:rFonts w:ascii="Arial" w:cs="Arial" w:eastAsia="Arial" w:hAnsi="Arial"/>
          <w:sz w:val="20"/>
          <w:szCs w:val="20"/>
        </w:rPr>
        <w:t xml:space="preserve">Elaboración propia. Las líneas verdes representan flujos con un control de seguridad asociado y las etiquetas CTRL-xx indican el control que actúa en cada componente o frontera. El detalle de cada control está en la Tabla 9.</w:t>
      </w:r>
    </w:p>
    <w:p>
      <w:pPr>
        <w:pStyle w:val="Heading2"/>
        <w:spacing w:after="100" w:before="200" w:line="360" w:lineRule="auto"/>
      </w:pPr>
      <w:r>
        <w:rPr>
          <w:rFonts w:ascii="Arial" w:cs="Arial" w:eastAsia="Arial" w:hAnsi="Arial"/>
          <w:b/>
          <w:bCs/>
          <w:color w:val="0F172A"/>
          <w:sz w:val="24"/>
          <w:szCs w:val="24"/>
        </w:rPr>
        <w:t xml:space="preserve">1.5.2   Superficie de la API</w:t>
      </w:r>
    </w:p>
    <w:p>
      <w:pPr>
        <w:spacing w:after="120" w:line="360" w:lineRule="auto"/>
        <w:ind w:firstLine="720"/>
        <w:jc w:val="both"/>
      </w:pPr>
      <w:r>
        <w:rPr>
          <w:rFonts w:ascii="Arial" w:cs="Arial" w:eastAsia="Arial" w:hAnsi="Arial"/>
          <w:b w:val="false"/>
          <w:bCs w:val="false"/>
          <w:sz w:val="24"/>
          <w:szCs w:val="24"/>
        </w:rPr>
        <w:t xml:space="preserve">La superficie expuesta se limita a los endpoints REST de los cinco microservicios. Todos requieren un token de Cognito válido, salvo el propio flujo de inicio de sesión administrado, que queda fuera de nuestra superficie de prueba. Las rutas /admin/* exigen además pertenencia al grupo admins. La Tabla 7 relaciona cada endpoint con su método, la autenticación requerida, el rol y los controles que aplican. De forma transversal a toda la superficie actúan la fijación de TLS (CTRL-08), el filtrado de AWS WAF (CTRL-17), las cabeceras de seguridad y los errores genéricos (CTRL-13) y la redacción de datos sensibles en los registros (CTRL-09).</w:t>
      </w:r>
    </w:p>
    <w:p>
      <w:pPr>
        <w:spacing w:after="0" w:before="160" w:line="240" w:lineRule="auto"/>
      </w:pPr>
      <w:r>
        <w:rPr>
          <w:rFonts w:ascii="Arial" w:cs="Arial" w:eastAsia="Arial" w:hAnsi="Arial"/>
          <w:b/>
          <w:bCs/>
          <w:sz w:val="24"/>
          <w:szCs w:val="24"/>
        </w:rPr>
        <w:t xml:space="preserve">Tabla 7</w:t>
      </w:r>
    </w:p>
    <w:p>
      <w:pPr>
        <w:spacing w:after="80" w:line="240" w:lineRule="auto"/>
      </w:pPr>
      <w:r>
        <w:rPr>
          <w:rFonts w:ascii="Arial" w:cs="Arial" w:eastAsia="Arial" w:hAnsi="Arial"/>
          <w:i/>
          <w:iCs/>
          <w:sz w:val="24"/>
          <w:szCs w:val="24"/>
        </w:rPr>
        <w:t xml:space="preserve">Superficie de la API de Q-Wallet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2650"/>
        <w:gridCol w:w="1150"/>
        <w:gridCol w:w="1700"/>
        <w:gridCol w:w="760"/>
        <w:gridCol w:w="1950"/>
      </w:tblGrid>
      <w:tr>
        <w:trPr>
          <w:tblHeader/>
        </w:trPr>
        <w:tc>
          <w:tcPr>
            <w:tcW w:type="dxa" w:w="11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6"/>
                <w:szCs w:val="16"/>
              </w:rPr>
              <w:t xml:space="preserve">Servicio</w:t>
            </w:r>
          </w:p>
        </w:tc>
        <w:tc>
          <w:tcPr>
            <w:tcW w:type="dxa" w:w="26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6"/>
                <w:szCs w:val="16"/>
              </w:rPr>
              <w:t xml:space="preserve">Endpoint</w:t>
            </w:r>
          </w:p>
        </w:tc>
        <w:tc>
          <w:tcPr>
            <w:tcW w:type="dxa" w:w="11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6"/>
                <w:szCs w:val="16"/>
              </w:rPr>
              <w:t xml:space="preserve">Método</w:t>
            </w:r>
          </w:p>
        </w:tc>
        <w:tc>
          <w:tcPr>
            <w:tcW w:type="dxa" w:w="17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6"/>
                <w:szCs w:val="16"/>
              </w:rPr>
              <w:t xml:space="preserve">Autenticación</w:t>
            </w:r>
          </w:p>
        </w:tc>
        <w:tc>
          <w:tcPr>
            <w:tcW w:type="dxa" w:w="7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6"/>
                <w:szCs w:val="16"/>
              </w:rPr>
              <w:t xml:space="preserve">Rol</w:t>
            </w:r>
          </w:p>
        </w:tc>
        <w:tc>
          <w:tcPr>
            <w:tcW w:type="dxa" w:w="19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6"/>
                <w:szCs w:val="16"/>
              </w:rPr>
              <w:t xml:space="preserve">Controles</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svc-profile</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/me</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GET, PATCH</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CTRL-03, CTRL-04, CTRL-14</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svc-profile</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/users/search?phone=</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CTRL-03, CTRL-05</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svc-profile</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/pin</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POST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CTRL-02, CTRL-04</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svc-accounts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/accounts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CTRL-01, CTRL-05</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svc-accounts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/accounts/{accountId}/transactions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CTRL-01, CTRL-05</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svc-transfers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/transfers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POST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 + PIN</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CTRL-01, CTRL-02, CTRL-04, CTRL-06</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svc-transfers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/transfers/{id}</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CTRL-01</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svc-transfers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/beneficiaries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GET, POST, DELETE</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CTRL-01, CTRL-04</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svc-budgets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/categories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CTRL-01</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svc-budgets</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/budgets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GET, POST, PUT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Cliente</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CTRL-01, CTRL-04</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svc-admin</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/admin/users</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GET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 (grupo admins)</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Admin</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CTRL-14, CTRL-18</w:t>
            </w:r>
          </w:p>
        </w:tc>
      </w:tr>
      <w:tr>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svc-admin</w:t>
            </w:r>
          </w:p>
        </w:tc>
        <w:tc>
          <w:tcPr>
            <w:tcW w:type="dxa" w:w="26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/admin/users/{id}/block</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POST</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 (grupo admins)</w:t>
            </w:r>
          </w:p>
        </w:tc>
        <w:tc>
          <w:tcPr>
            <w:tcW w:type="dxa" w:w="7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Admin</w:t>
            </w:r>
          </w:p>
        </w:tc>
        <w:tc>
          <w:tcPr>
            <w:tcW w:type="dxa" w:w="19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CTRL-14, CTRL-20</w:t>
            </w:r>
          </w:p>
        </w:tc>
      </w:tr>
      <w:tr>
        <w:tc>
          <w:tcPr>
            <w:tcW w:type="dxa" w:w="11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svc-admin</w:t>
            </w:r>
          </w:p>
        </w:tc>
        <w:tc>
          <w:tcPr>
            <w:tcW w:type="dxa" w:w="26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/admin/audit</w:t>
            </w:r>
          </w:p>
        </w:tc>
        <w:tc>
          <w:tcPr>
            <w:tcW w:type="dxa" w:w="11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GET</w:t>
            </w:r>
          </w:p>
        </w:tc>
        <w:tc>
          <w:tcPr>
            <w:tcW w:type="dxa" w:w="17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JWT Cognito (grupo admins)</w:t>
            </w:r>
          </w:p>
        </w:tc>
        <w:tc>
          <w:tcPr>
            <w:tcW w:type="dxa" w:w="7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Admin</w:t>
            </w:r>
          </w:p>
        </w:tc>
        <w:tc>
          <w:tcPr>
            <w:tcW w:type="dxa" w:w="19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CTRL-14, CTRL-20</w:t>
            </w:r>
          </w:p>
        </w:tc>
      </w:tr>
    </w:tbl>
    <w:p>
      <w:pPr>
        <w:spacing w:after="160" w:before="60" w:line="240" w:lineRule="auto"/>
      </w:pPr>
      <w:r>
        <w:rPr>
          <w:rFonts w:ascii="Arial" w:cs="Arial" w:eastAsia="Arial" w:hAnsi="Arial"/>
          <w:i/>
          <w:iCs/>
          <w:sz w:val="20"/>
          <w:szCs w:val="20"/>
        </w:rPr>
        <w:t xml:space="preserve">Nota. </w:t>
      </w:r>
      <w:r>
        <w:rPr>
          <w:rFonts w:ascii="Arial" w:cs="Arial" w:eastAsia="Arial" w:hAnsi="Arial"/>
          <w:sz w:val="20"/>
          <w:szCs w:val="20"/>
        </w:rPr>
        <w:t xml:space="preserve">Elaboración propia a partir de la arquitectura (CONTEXTO, sección 4). JWT: JSON Web Token. Los controles transversales CTRL-08, CTRL-09, CTRL-13 y CTRL-17 aplican a todos los endpoints.</w:t>
      </w:r>
    </w:p>
    <w:p>
      <w:pPr>
        <w:pStyle w:val="Heading2"/>
        <w:spacing w:after="100" w:before="200" w:line="360" w:lineRule="auto"/>
      </w:pPr>
      <w:r>
        <w:rPr>
          <w:rFonts w:ascii="Arial" w:cs="Arial" w:eastAsia="Arial" w:hAnsi="Arial"/>
          <w:b/>
          <w:bCs/>
          <w:color w:val="0F172A"/>
          <w:sz w:val="24"/>
          <w:szCs w:val="24"/>
        </w:rPr>
        <w:t xml:space="preserve">1.5.3   Fronteras de confianza</w:t>
      </w:r>
    </w:p>
    <w:p>
      <w:pPr>
        <w:spacing w:after="120" w:line="360" w:lineRule="auto"/>
        <w:ind w:firstLine="720"/>
        <w:jc w:val="both"/>
      </w:pPr>
      <w:r>
        <w:rPr>
          <w:rFonts w:ascii="Arial" w:cs="Arial" w:eastAsia="Arial" w:hAnsi="Arial"/>
          <w:b w:val="false"/>
          <w:bCs w:val="false"/>
          <w:sz w:val="24"/>
          <w:szCs w:val="24"/>
        </w:rPr>
        <w:t xml:space="preserve">El modelo de amenazas identifica seis fronteras de confianza, es decir, los límites donde cambia el nivel de confianza de los datos y donde se concentra el análisis STRIDE. La Tabla 8 resume, por cada frontera, qué información la cruza, la amenaza principal asociada y los controles que la contienen.</w:t>
      </w:r>
    </w:p>
    <w:p>
      <w:pPr>
        <w:spacing w:after="0" w:before="160" w:line="240" w:lineRule="auto"/>
      </w:pPr>
      <w:r>
        <w:rPr>
          <w:rFonts w:ascii="Arial" w:cs="Arial" w:eastAsia="Arial" w:hAnsi="Arial"/>
          <w:b/>
          <w:bCs/>
          <w:sz w:val="24"/>
          <w:szCs w:val="24"/>
        </w:rPr>
        <w:t xml:space="preserve">Tabla 8</w:t>
      </w:r>
    </w:p>
    <w:p>
      <w:pPr>
        <w:spacing w:after="80" w:line="240" w:lineRule="auto"/>
      </w:pPr>
      <w:r>
        <w:rPr>
          <w:rFonts w:ascii="Arial" w:cs="Arial" w:eastAsia="Arial" w:hAnsi="Arial"/>
          <w:i/>
          <w:iCs/>
          <w:sz w:val="24"/>
          <w:szCs w:val="24"/>
        </w:rPr>
        <w:t xml:space="preserve">Fronteras de confianza de Q-Wallet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2550"/>
        <w:gridCol w:w="2560"/>
        <w:gridCol w:w="2050"/>
      </w:tblGrid>
      <w:tr>
        <w:trPr>
          <w:tblHeader/>
        </w:trPr>
        <w:tc>
          <w:tcPr>
            <w:tcW w:type="dxa" w:w="22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8"/>
                <w:szCs w:val="18"/>
              </w:rPr>
              <w:t xml:space="preserve">Frontera</w:t>
            </w:r>
          </w:p>
        </w:tc>
        <w:tc>
          <w:tcPr>
            <w:tcW w:type="dxa" w:w="25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8"/>
                <w:szCs w:val="18"/>
              </w:rPr>
              <w:t xml:space="preserve">Qué la cruza</w:t>
            </w:r>
          </w:p>
        </w:tc>
        <w:tc>
          <w:tcPr>
            <w:tcW w:type="dxa" w:w="25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8"/>
                <w:szCs w:val="18"/>
              </w:rPr>
              <w:t xml:space="preserve">Amenaza principal</w:t>
            </w:r>
          </w:p>
        </w:tc>
        <w:tc>
          <w:tcPr>
            <w:tcW w:type="dxa" w:w="20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8"/>
                <w:szCs w:val="18"/>
              </w:rPr>
              <w:t xml:space="preserve">Controles</w:t>
            </w:r>
          </w:p>
        </w:tc>
      </w:tr>
      <w:tr>
        <w:tc>
          <w:tcPr>
            <w:tcW w:type="dxa" w:w="22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TB1  Dispositivo del cliente ↔ Internet</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Credenciales, PIN, tokens y datos de la app</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Robo de tokens, uso en dispositivo robado, ingeniería inversa</w:t>
            </w:r>
          </w:p>
        </w:tc>
        <w:tc>
          <w:tcPr>
            <w:tcW w:type="dxa" w:w="2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CTRL-07, CTRL-08, CTRL-15, CTRL-22</w:t>
            </w:r>
          </w:p>
        </w:tc>
      </w:tr>
      <w:tr>
        <w:tc>
          <w:tcPr>
            <w:tcW w:type="dxa" w:w="22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TB2  Internet ↔ Borde AWS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Solicitudes REST con JWT y flujo OAuth2</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Credential stuffing, token falsificado, saturación, MITM</w:t>
            </w:r>
          </w:p>
        </w:tc>
        <w:tc>
          <w:tcPr>
            <w:tcW w:type="dxa" w:w="2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CTRL-08, CTRL-13, CTRL-17, CTRL-18, CTRL-05</w:t>
            </w:r>
          </w:p>
        </w:tc>
      </w:tr>
      <w:tr>
        <w:tc>
          <w:tcPr>
            <w:tcW w:type="dxa" w:w="22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TB3  API Gateway ↔ Lambdas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Evento con claims del autorizador</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BOLA, BFLA, asignación masiva, enumeración, doble gasto</w:t>
            </w:r>
          </w:p>
        </w:tc>
        <w:tc>
          <w:tcPr>
            <w:tcW w:type="dxa" w:w="2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CTRL-01, CTRL-02, CTRL-04, CTRL-06, CTRL-14</w:t>
            </w:r>
          </w:p>
        </w:tc>
      </w:tr>
      <w:tr>
        <w:tc>
          <w:tcPr>
            <w:tcW w:type="dxa" w:w="22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TB4  Lambdas ↔ Datos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Lectura y escritura en DynamoDB, SSM, KMS y logs</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Rol IAM excesivo, exposición en reposo, bucket público, imagen alterada</w:t>
            </w:r>
          </w:p>
        </w:tc>
        <w:tc>
          <w:tcPr>
            <w:tcW w:type="dxa" w:w="2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CTRL-11, CTRL-12, CTRL-16, CTRL-19</w:t>
            </w:r>
          </w:p>
        </w:tc>
      </w:tr>
      <w:tr>
        <w:tc>
          <w:tcPr>
            <w:tcW w:type="dxa" w:w="22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TB5  GitHub (CI/CD) ↔ AWS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Código, imágenes e infraestructura (IaC)</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Dependencia vulnerable, secreto en el repositorio, pipeline comprometido</w:t>
            </w:r>
          </w:p>
        </w:tc>
        <w:tc>
          <w:tcPr>
            <w:tcW w:type="dxa" w:w="2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CTRL-10, CTRL-16, CTRL-21</w:t>
            </w:r>
          </w:p>
        </w:tc>
      </w:tr>
      <w:tr>
        <w:tc>
          <w:tcPr>
            <w:tcW w:type="dxa" w:w="22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TB6  AWS ↔ SIEM local</w:t>
            </w:r>
          </w:p>
        </w:tc>
        <w:tc>
          <w:tcPr>
            <w:tcW w:type="dxa" w:w="25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Eventos de CloudTrail para correlación</w:t>
            </w:r>
          </w:p>
        </w:tc>
        <w:tc>
          <w:tcPr>
            <w:tcW w:type="dxa" w:w="25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SIEM apagado y lectura de registros con las llaves del SIEM</w:t>
            </w:r>
          </w:p>
        </w:tc>
        <w:tc>
          <w:tcPr>
            <w:tcW w:type="dxa" w:w="20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8"/>
                <w:szCs w:val="18"/>
              </w:rPr>
              <w:t xml:space="preserve">CTRL-12, CTRL-16, CTRL-20</w:t>
            </w:r>
          </w:p>
        </w:tc>
      </w:tr>
    </w:tbl>
    <w:p>
      <w:pPr>
        <w:spacing w:after="160" w:before="60" w:line="240" w:lineRule="auto"/>
      </w:pPr>
      <w:r>
        <w:rPr>
          <w:rFonts w:ascii="Arial" w:cs="Arial" w:eastAsia="Arial" w:hAnsi="Arial"/>
          <w:i/>
          <w:iCs/>
          <w:sz w:val="20"/>
          <w:szCs w:val="20"/>
        </w:rPr>
        <w:t xml:space="preserve">Nota. </w:t>
      </w:r>
      <w:r>
        <w:rPr>
          <w:rFonts w:ascii="Arial" w:cs="Arial" w:eastAsia="Arial" w:hAnsi="Arial"/>
          <w:sz w:val="20"/>
          <w:szCs w:val="20"/>
        </w:rPr>
        <w:t xml:space="preserve">Elaboración propia a partir del DFD del modelo de amenazas. BOLA: Broken Object Level Authorization. BFLA: Broken Function Level Authorization. MITM: ataque de intermediario.</w:t>
      </w:r>
    </w:p>
    <w:p>
      <w:pPr>
        <w:pStyle w:val="Heading2"/>
        <w:spacing w:after="100" w:before="200" w:line="360" w:lineRule="auto"/>
      </w:pPr>
      <w:r>
        <w:rPr>
          <w:rFonts w:ascii="Arial" w:cs="Arial" w:eastAsia="Arial" w:hAnsi="Arial"/>
          <w:b/>
          <w:bCs/>
          <w:color w:val="0F172A"/>
          <w:sz w:val="24"/>
          <w:szCs w:val="24"/>
        </w:rPr>
        <w:t xml:space="preserve">1.5.4   Controles de seguridad por componente</w:t>
      </w:r>
    </w:p>
    <w:p>
      <w:pPr>
        <w:spacing w:after="120" w:line="360" w:lineRule="auto"/>
        <w:ind w:firstLine="720"/>
        <w:jc w:val="both"/>
      </w:pPr>
      <w:r>
        <w:rPr>
          <w:rFonts w:ascii="Arial" w:cs="Arial" w:eastAsia="Arial" w:hAnsi="Arial"/>
          <w:b w:val="false"/>
          <w:bCs w:val="false"/>
          <w:sz w:val="24"/>
          <w:szCs w:val="24"/>
        </w:rPr>
        <w:t xml:space="preserve">Para mantener legible el diagrama, el detalle de los veintidós controles se recoge en la Tabla 9, que ubica cada control en el componente o frontera donde actúa, lo asocia a la capa de las siete capas de defensa y resume qué asegura. Esta tabla es la referencia del mapeo que la Figura 1 representa de forma gráfica.</w:t>
      </w:r>
    </w:p>
    <w:p>
      <w:pPr>
        <w:spacing w:after="0" w:before="160" w:line="240" w:lineRule="auto"/>
      </w:pPr>
      <w:r>
        <w:rPr>
          <w:rFonts w:ascii="Arial" w:cs="Arial" w:eastAsia="Arial" w:hAnsi="Arial"/>
          <w:b/>
          <w:bCs/>
          <w:sz w:val="24"/>
          <w:szCs w:val="24"/>
        </w:rPr>
        <w:t xml:space="preserve">Tabla 9</w:t>
      </w:r>
    </w:p>
    <w:p>
      <w:pPr>
        <w:spacing w:after="80" w:line="240" w:lineRule="auto"/>
      </w:pPr>
      <w:r>
        <w:rPr>
          <w:rFonts w:ascii="Arial" w:cs="Arial" w:eastAsia="Arial" w:hAnsi="Arial"/>
          <w:i/>
          <w:iCs/>
          <w:sz w:val="24"/>
          <w:szCs w:val="24"/>
        </w:rPr>
        <w:t xml:space="preserve">Controles de seguridad por componente, frontera y capa</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50"/>
        <w:gridCol w:w="1750"/>
        <w:gridCol w:w="900"/>
        <w:gridCol w:w="4160"/>
      </w:tblGrid>
      <w:tr>
        <w:trPr>
          <w:tblHeader/>
        </w:trPr>
        <w:tc>
          <w:tcPr>
            <w:tcW w:type="dxa" w:w="25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6"/>
                <w:szCs w:val="16"/>
              </w:rPr>
              <w:t xml:space="preserve">Componente o frontera</w:t>
            </w:r>
          </w:p>
        </w:tc>
        <w:tc>
          <w:tcPr>
            <w:tcW w:type="dxa" w:w="17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6"/>
                <w:szCs w:val="16"/>
              </w:rPr>
              <w:t xml:space="preserve">Controles</w:t>
            </w:r>
          </w:p>
        </w:tc>
        <w:tc>
          <w:tcPr>
            <w:tcW w:type="dxa" w:w="9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6"/>
                <w:szCs w:val="16"/>
              </w:rPr>
              <w:t xml:space="preserve">Capa</w:t>
            </w:r>
          </w:p>
        </w:tc>
        <w:tc>
          <w:tcPr>
            <w:tcW w:type="dxa" w:w="41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6"/>
                <w:szCs w:val="16"/>
              </w:rPr>
              <w:t xml:space="preserve">Qué asegura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App Android Q-Wallet (TB1)</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CTRL-15, CTRL-22</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2a / 1</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RASP (root, hooking, emulador) y bloqueo de capturas en pantallas sensibles</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Android Keystore (TB1)</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CTRL-07</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1</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Tokens cifrados con desbloqueo biométrico</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Flujo App ↔ Borde (TB1-TB2)</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CTRL-08</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1</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TLS 1.2+ con fijación de llaves de Amazon Root CA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AWS WAF (TB2)</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CTRL-17</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5</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Core Rule Set, Known Bad Inputs y regla rate-based</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API Gateway (TB2)</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CTRL-05, CTRL-13</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2d</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Paginación con tope y throttling; CORS, cabeceras y errores genéricos</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Cognito User Pool (TB2)</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CTRL-18</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2b</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MFA TOTP, Authorization Code con PKCE y tokens de corta vida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svc-profile (TB3)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CTRL-03, CTRL-04</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1 / 2a</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DTOs mínimos con enmascaramiento; validación zod estricta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svc-accounts (TB3)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CTRL-01, CTRL-05</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2b / 2d</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Autorización a nivel de objeto; paginación por cursor</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svc-transfers (TB3)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CTRL-01, CTRL-02, CTRL-06</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2b</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Autorización de objeto, PIN con scrypt y escritura idempotente transaccional</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svc-budgets (TB3)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CTRL-01, CTRL-04</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2b</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Autorización de objeto y validación de entrada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svc-admin (TB3)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CTRL-14, CTRL-09</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2b / 7</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Autorización por función (grupo admins) y registro de auditoría</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DynamoDB, KMS y S3 (TB4)</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CTRL-19</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1</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Cifrado en reposo con KMS CMK propia y rotación anual</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SSM Parameter Store (TB4)</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CTRL-16</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2a / 7</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Secretos fuera del cliente; detección con gitleaks</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Amazon ECR / imagen Lambda (TB4-TB3)</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CTRL-11</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3</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Imagen multi-stage, base por digest y usuario no root</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CloudWatch / CloudTrail (TB4)</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CTRL-09, CTRL-12</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1 / 4</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Redacción de tokens y PII en logs; S3 bloqueado y rol IAM mínimo</w:t>
            </w:r>
          </w:p>
        </w:tc>
      </w:tr>
      <w:tr>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Wazuh SIEM (TB6)</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CTRL-20</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7</w:t>
            </w:r>
          </w:p>
        </w:tc>
        <w:tc>
          <w:tcPr>
            <w:tcW w:type="dxa" w:w="41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CloudTrail multirregión con alertas de correlación</w:t>
            </w:r>
          </w:p>
        </w:tc>
      </w:tr>
      <w:tr>
        <w:tc>
          <w:tcPr>
            <w:tcW w:type="dxa" w:w="25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GitHub Actions (TB5)</w:t>
            </w:r>
          </w:p>
        </w:tc>
        <w:tc>
          <w:tcPr>
            <w:tcW w:type="dxa" w:w="17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CTRL-10, CTRL-16, CTRL-21</w:t>
            </w:r>
          </w:p>
        </w:tc>
        <w:tc>
          <w:tcPr>
            <w:tcW w:type="dxa" w:w="9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2c / 7</w:t>
            </w:r>
          </w:p>
        </w:tc>
        <w:tc>
          <w:tcPr>
            <w:tcW w:type="dxa" w:w="41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6"/>
                <w:szCs w:val="16"/>
              </w:rPr>
              <w:t xml:space="preserve">SCA que bloquea High/Critical; sin secretos; despliegue OIDC y main protegida</w:t>
            </w:r>
          </w:p>
        </w:tc>
      </w:tr>
    </w:tbl>
    <w:p>
      <w:pPr>
        <w:spacing w:after="160" w:before="60" w:line="240" w:lineRule="auto"/>
      </w:pPr>
      <w:r>
        <w:rPr>
          <w:rFonts w:ascii="Arial" w:cs="Arial" w:eastAsia="Arial" w:hAnsi="Arial"/>
          <w:i/>
          <w:iCs/>
          <w:sz w:val="20"/>
          <w:szCs w:val="20"/>
        </w:rPr>
        <w:t xml:space="preserve">Nota. </w:t>
      </w:r>
      <w:r>
        <w:rPr>
          <w:rFonts w:ascii="Arial" w:cs="Arial" w:eastAsia="Arial" w:hAnsi="Arial"/>
          <w:sz w:val="20"/>
          <w:szCs w:val="20"/>
        </w:rPr>
        <w:t xml:space="preserve">Elaboración propia a partir del catálogo de controles (CONTEXTO, sección 5). Las capas corresponden a las siete capas de defensa de CONTEXTO, sección 7. CTRL-22 (FLAG_SECURE) se incorpora al catálogo en esta entrega.</w:t>
      </w:r>
    </w:p>
    <w:p>
      <w:pPr>
        <w:pStyle w:val="Heading2"/>
        <w:spacing w:after="100" w:before="200" w:line="360" w:lineRule="auto"/>
      </w:pPr>
      <w:r>
        <w:rPr>
          <w:rFonts w:ascii="Arial" w:cs="Arial" w:eastAsia="Arial" w:hAnsi="Arial"/>
          <w:b/>
          <w:bCs/>
          <w:color w:val="0F172A"/>
          <w:sz w:val="24"/>
          <w:szCs w:val="24"/>
        </w:rPr>
        <w:t xml:space="preserve">1.5.5   Herramientas por fase</w:t>
      </w:r>
    </w:p>
    <w:p>
      <w:pPr>
        <w:spacing w:after="120" w:line="360" w:lineRule="auto"/>
        <w:ind w:firstLine="720"/>
        <w:jc w:val="both"/>
      </w:pPr>
      <w:r>
        <w:rPr>
          <w:rFonts w:ascii="Arial" w:cs="Arial" w:eastAsia="Arial" w:hAnsi="Arial"/>
          <w:b w:val="false"/>
          <w:bCs w:val="false"/>
          <w:sz w:val="24"/>
          <w:szCs w:val="24"/>
        </w:rPr>
        <w:t xml:space="preserve">La Tabla 10 lista las herramientas que usaremos en cada fase del SSDLC, con la versión exacta fijada en el proyecto. Las herramientas se integran en el pipeline de GitHub Actions (SAST, SCA, análisis de infraestructura como código y de contenedores) o se ejecutan de forma manual en la fase de evaluación (pruebas dinámicas y móviles). Cuando una versión aún no está fijada, se marca como [VERIFICAR].</w:t>
      </w:r>
    </w:p>
    <w:p>
      <w:pPr>
        <w:spacing w:after="0" w:before="160" w:line="240" w:lineRule="auto"/>
      </w:pPr>
      <w:r>
        <w:rPr>
          <w:rFonts w:ascii="Arial" w:cs="Arial" w:eastAsia="Arial" w:hAnsi="Arial"/>
          <w:b/>
          <w:bCs/>
          <w:sz w:val="24"/>
          <w:szCs w:val="24"/>
        </w:rPr>
        <w:t xml:space="preserve">Tabla 10</w:t>
      </w:r>
    </w:p>
    <w:p>
      <w:pPr>
        <w:spacing w:after="80" w:line="240" w:lineRule="auto"/>
      </w:pPr>
      <w:r>
        <w:rPr>
          <w:rFonts w:ascii="Arial" w:cs="Arial" w:eastAsia="Arial" w:hAnsi="Arial"/>
          <w:i/>
          <w:iCs/>
          <w:sz w:val="24"/>
          <w:szCs w:val="24"/>
        </w:rPr>
        <w:t xml:space="preserve">Herramientas de seguridad por fase y versión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050"/>
        <w:gridCol w:w="1450"/>
        <w:gridCol w:w="2560"/>
      </w:tblGrid>
      <w:tr>
        <w:trPr>
          <w:tblHeader/>
        </w:trPr>
        <w:tc>
          <w:tcPr>
            <w:tcW w:type="dxa" w:w="23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7"/>
                <w:szCs w:val="17"/>
              </w:rPr>
              <w:t xml:space="preserve">Fase</w:t>
            </w:r>
          </w:p>
        </w:tc>
        <w:tc>
          <w:tcPr>
            <w:tcW w:type="dxa" w:w="30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7"/>
                <w:szCs w:val="17"/>
              </w:rPr>
              <w:t xml:space="preserve">Herramienta</w:t>
            </w:r>
          </w:p>
        </w:tc>
        <w:tc>
          <w:tcPr>
            <w:tcW w:type="dxa" w:w="14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7"/>
                <w:szCs w:val="17"/>
              </w:rPr>
              <w:t xml:space="preserve">Versión</w:t>
            </w:r>
          </w:p>
        </w:tc>
        <w:tc>
          <w:tcPr>
            <w:tcW w:type="dxa" w:w="256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7"/>
                <w:szCs w:val="17"/>
              </w:rPr>
              <w:t xml:space="preserve">Propósito</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Modelado de amenazas</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OWASP Threat Dragon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2.6.2</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DFD y análisis STRIDE</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SAST</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Semgrep CE</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1.179.0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Análisis estático del código</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SAST</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CodeQL Action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v4</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Análisis estático en GitHub</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SAST / calidad</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SonarQube Cloud</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SaaS</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Calidad y seguridad del código</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SCA</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OWASP Dependency-Check</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12.1.0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Dependencias vulnerables</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SCA</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Snyk CLI</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1.1307.4</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Dependencias vulnerables</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SCA / contenedores / IaC</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Trivy</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0.75.0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Dependencias, imágenes e IaC</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IaC / Dockerfile</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Checkov</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3.3.22</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Configuración de Terraform y contenedor</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Contenedores (móvil)</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MobSF</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4.5.3</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Análisis estático y dinámico del APK</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DAST / caja negra</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OWASP ZAP</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2.17.0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Escaneo de la API</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DAST / pentest</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Burp Suite Community</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[VERIFICAR]</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Pruebas manuales de la API</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Pentest móvil</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Frida / frida-tools</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17.22.0 / 14.11.0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Instrumentación dinámica</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Pentest móvil</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objection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1.12.5</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Pruebas sobre el dispositivo</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Secretos</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gitleaks</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8.30.1</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Detección de secretos en el repositorio</w:t>
            </w:r>
          </w:p>
        </w:tc>
      </w:tr>
      <w:tr>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Auditoría de la cuenta AWS</w:t>
            </w:r>
          </w:p>
        </w:tc>
        <w:tc>
          <w:tcPr>
            <w:tcW w:type="dxa" w:w="30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Prowler</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5.44.0</w:t>
            </w:r>
          </w:p>
        </w:tc>
        <w:tc>
          <w:tcPr>
            <w:tcW w:type="dxa" w:w="256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Benchmark CIS de la cuenta</w:t>
            </w:r>
          </w:p>
        </w:tc>
      </w:tr>
      <w:tr>
        <w:tc>
          <w:tcPr>
            <w:tcW w:type="dxa" w:w="23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SIEM</w:t>
            </w:r>
          </w:p>
        </w:tc>
        <w:tc>
          <w:tcPr>
            <w:tcW w:type="dxa" w:w="30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Wazuh</w:t>
            </w:r>
          </w:p>
        </w:tc>
        <w:tc>
          <w:tcPr>
            <w:tcW w:type="dxa" w:w="14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4.14.8</w:t>
            </w:r>
          </w:p>
        </w:tc>
        <w:tc>
          <w:tcPr>
            <w:tcW w:type="dxa" w:w="256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7"/>
                <w:szCs w:val="17"/>
              </w:rPr>
              <w:t xml:space="preserve">Correlación y alertas</w:t>
            </w:r>
          </w:p>
        </w:tc>
      </w:tr>
    </w:tbl>
    <w:p>
      <w:pPr>
        <w:spacing w:after="160" w:before="60" w:line="240" w:lineRule="auto"/>
      </w:pPr>
      <w:r>
        <w:rPr>
          <w:rFonts w:ascii="Arial" w:cs="Arial" w:eastAsia="Arial" w:hAnsi="Arial"/>
          <w:i/>
          <w:iCs/>
          <w:sz w:val="20"/>
          <w:szCs w:val="20"/>
        </w:rPr>
        <w:t xml:space="preserve">Nota. </w:t>
      </w:r>
      <w:r>
        <w:rPr>
          <w:rFonts w:ascii="Arial" w:cs="Arial" w:eastAsia="Arial" w:hAnsi="Arial"/>
          <w:sz w:val="20"/>
          <w:szCs w:val="20"/>
        </w:rPr>
        <w:t xml:space="preserve">Elaboración propia a partir de CONTEXTO, sección 3.1. SAST: análisis estático. SCA: análisis de composición de software. DAST: análisis dinámico. IaC: infraestructura como código.</w:t>
      </w:r>
    </w:p>
    <w:p>
      <w:pPr>
        <w:pStyle w:val="Heading2"/>
        <w:spacing w:after="100" w:before="200" w:line="360" w:lineRule="auto"/>
      </w:pPr>
      <w:r>
        <w:rPr>
          <w:rFonts w:ascii="Arial" w:cs="Arial" w:eastAsia="Arial" w:hAnsi="Arial"/>
          <w:b/>
          <w:bCs/>
          <w:color w:val="0F172A"/>
          <w:sz w:val="24"/>
          <w:szCs w:val="24"/>
        </w:rPr>
        <w:t xml:space="preserve">1.5.6   Reglas de enfrentamiento del pentest</w:t>
      </w:r>
    </w:p>
    <w:p>
      <w:pPr>
        <w:spacing w:after="120" w:line="360" w:lineRule="auto"/>
        <w:ind w:firstLine="720"/>
        <w:jc w:val="both"/>
      </w:pPr>
      <w:r>
        <w:rPr>
          <w:rFonts w:ascii="Arial" w:cs="Arial" w:eastAsia="Arial" w:hAnsi="Arial"/>
          <w:b w:val="false"/>
          <w:bCs w:val="false"/>
          <w:sz w:val="24"/>
          <w:szCs w:val="24"/>
        </w:rPr>
        <w:t xml:space="preserve">Las pruebas de intrusión verifican que cada control funciona. Cada caso de abuso se ejecuta y la evidencia del control es el bloqueo observado: un código 401, 403 o 429, un bloqueo de AWS WAF o una alerta en el SIEM. Para conducir estas pruebas de forma responsable y dentro de la política del proveedor, fijamos las siguientes reglas de enfrentamiento.</w:t>
      </w:r>
    </w:p>
    <w:p>
      <w:pPr>
        <w:spacing w:after="120" w:line="360" w:lineRule="auto"/>
        <w:ind w:firstLine="720"/>
        <w:jc w:val="both"/>
      </w:pPr>
      <w:r>
        <w:rPr>
          <w:rFonts w:ascii="Arial" w:cs="Arial" w:eastAsia="Arial" w:hAnsi="Arial"/>
          <w:b/>
          <w:bCs/>
          <w:sz w:val="24"/>
          <w:szCs w:val="24"/>
        </w:rPr>
        <w:t xml:space="preserve">Objetivos autorizados. </w:t>
      </w:r>
      <w:r>
        <w:rPr>
          <w:rFonts w:ascii="Arial" w:cs="Arial" w:eastAsia="Arial" w:hAnsi="Arial"/>
          <w:sz w:val="24"/>
          <w:szCs w:val="24"/>
        </w:rPr>
        <w:t xml:space="preserve">Autorizamos las pruebas contra nuestros propios recursos en la cuenta AWS del proyecto: AWS WAF, API Gateway, las funciones Lambda, DynamoDB, SSM, S3 y los roles IAM, además de la aplicación Android sobre el emulador y de la configuración del repositorio. Las pruebas se ejecutan únicamente sobre el ambiente del proyecto en us-east-1, nunca sobre datos o cuentas de terceros.</w:t>
      </w:r>
    </w:p>
    <w:p>
      <w:pPr>
        <w:spacing w:after="120" w:line="360" w:lineRule="auto"/>
        <w:ind w:firstLine="720"/>
        <w:jc w:val="both"/>
      </w:pPr>
      <w:r>
        <w:rPr>
          <w:rFonts w:ascii="Arial" w:cs="Arial" w:eastAsia="Arial" w:hAnsi="Arial"/>
          <w:b/>
          <w:bCs/>
          <w:sz w:val="24"/>
          <w:szCs w:val="24"/>
        </w:rPr>
        <w:t xml:space="preserve">Fuera de alcance. </w:t>
      </w:r>
      <w:r>
        <w:rPr>
          <w:rFonts w:ascii="Arial" w:cs="Arial" w:eastAsia="Arial" w:hAnsi="Arial"/>
          <w:sz w:val="24"/>
          <w:szCs w:val="24"/>
        </w:rPr>
        <w:t xml:space="preserve">Quedan excluidos el inicio de sesión administrado de Amazon Cognito, cualquier servicio compartido o gestionado de AWS en su plano interno, y los activos que el enunciado del proyecto declara fuera de alcance (iOS, cliente web, tarjetas, integración bancaria y KYC).</w:t>
      </w:r>
    </w:p>
    <w:p>
      <w:pPr>
        <w:spacing w:after="120" w:line="360" w:lineRule="auto"/>
        <w:ind w:firstLine="720"/>
        <w:jc w:val="both"/>
      </w:pPr>
      <w:r>
        <w:rPr>
          <w:rFonts w:ascii="Arial" w:cs="Arial" w:eastAsia="Arial" w:hAnsi="Arial"/>
          <w:b/>
          <w:bCs/>
          <w:sz w:val="24"/>
          <w:szCs w:val="24"/>
        </w:rPr>
        <w:t xml:space="preserve">Ventanas de prueba. </w:t>
      </w:r>
      <w:r>
        <w:rPr>
          <w:rFonts w:ascii="Arial" w:cs="Arial" w:eastAsia="Arial" w:hAnsi="Arial"/>
          <w:sz w:val="24"/>
          <w:szCs w:val="24"/>
        </w:rPr>
        <w:t xml:space="preserve">AWS WAF se activa solo en los días de prueba para contener el costo; fuera de esas ventanas, la defensa de borde es el throttling de API Gateway y Shield Standard. Las pruebas que dependen del WAF (por ejemplo, el bloqueo de cargas maliciosas) se programan y se documentan dentro de esas ventanas, con fecha y hora visibles en la evidencia.</w:t>
      </w:r>
    </w:p>
    <w:p>
      <w:pPr>
        <w:spacing w:after="120" w:line="360" w:lineRule="auto"/>
        <w:ind w:firstLine="720"/>
        <w:jc w:val="both"/>
      </w:pPr>
      <w:r>
        <w:rPr>
          <w:rFonts w:ascii="Arial" w:cs="Arial" w:eastAsia="Arial" w:hAnsi="Arial"/>
          <w:b/>
          <w:bCs/>
          <w:sz w:val="24"/>
          <w:szCs w:val="24"/>
        </w:rPr>
        <w:t xml:space="preserve">Límites de la política de pentest de AWS. </w:t>
      </w:r>
      <w:r>
        <w:rPr>
          <w:rFonts w:ascii="Arial" w:cs="Arial" w:eastAsia="Arial" w:hAnsi="Arial"/>
          <w:sz w:val="24"/>
          <w:szCs w:val="24"/>
        </w:rPr>
        <w:t xml:space="preserve">La política de pruebas de intrusión de AWS permite probar un conjunto de servicios autorizados sin solicitud previa, pero prohíbe la denegación de servicio (DoS) y la inundación de solicitudes, incluso simulada, tanto en el inicio de sesión como en la API, y no incluye a Amazon Cognito entre los servicios cuyo plano gestionado pueda atacarse. En consecuencia, no ejecutamos ataques de volumen ni fuerza bruta sostenida; las pruebas de bloqueo (códigos 429 y bloqueo del PIN) se realizan con ráfagas cortas contra umbrales configurados en valores bajos, y la robustez del inicio de sesión de Cognito se verifica por configuración, no por ataque.</w:t>
      </w:r>
    </w:p>
    <w:p>
      <w:pPr>
        <w:spacing w:after="120" w:line="360" w:lineRule="auto"/>
        <w:ind w:firstLine="720"/>
        <w:jc w:val="both"/>
      </w:pPr>
      <w:r>
        <w:rPr>
          <w:rFonts w:ascii="Arial" w:cs="Arial" w:eastAsia="Arial" w:hAnsi="Arial"/>
          <w:b/>
          <w:bCs/>
          <w:sz w:val="24"/>
          <w:szCs w:val="24"/>
        </w:rPr>
        <w:t xml:space="preserve">Manejo de evidencias. </w:t>
      </w:r>
      <w:r>
        <w:rPr>
          <w:rFonts w:ascii="Arial" w:cs="Arial" w:eastAsia="Arial" w:hAnsi="Arial"/>
          <w:sz w:val="24"/>
          <w:szCs w:val="24"/>
        </w:rPr>
        <w:t xml:space="preserve">Cada evidencia se nombra EVD-&lt;fase&gt;-&lt;nn&gt;_&lt;descripción&gt; y, cuando es posible, muestra la fecha y la hora. Antes de capturar ocultamos el identificador de la cuenta AWS, los correos y los tokens. Para cada ataque se graba además un video corto que servirá en la presentación. Las evidencias se versionan en el repositorio bajo docs/evidencias.</w:t>
      </w:r>
    </w:p>
    <w:p>
      <w:pPr>
        <w:spacing w:after="120" w:line="360" w:lineRule="auto"/>
        <w:ind w:firstLine="720"/>
        <w:jc w:val="both"/>
      </w:pPr>
      <w:r>
        <w:rPr>
          <w:rFonts w:ascii="Arial" w:cs="Arial" w:eastAsia="Arial" w:hAnsi="Arial"/>
          <w:b/>
          <w:bCs/>
          <w:sz w:val="24"/>
          <w:szCs w:val="24"/>
        </w:rPr>
        <w:t xml:space="preserve">Vulnerabilidad en un servicio de AWS. </w:t>
      </w:r>
      <w:r>
        <w:rPr>
          <w:rFonts w:ascii="Arial" w:cs="Arial" w:eastAsia="Arial" w:hAnsi="Arial"/>
          <w:sz w:val="24"/>
          <w:szCs w:val="24"/>
        </w:rPr>
        <w:t xml:space="preserve">Si una herramienta reporta una vulnerabilidad en el plano gestionado de un servicio de AWS (no en nuestra configuración), detenemos la prueba, no la explotamos más allá de la confirmación mínima y la reportamos por el canal de divulgación de AWS. Nuestro alcance se limita a la configuración y el código propios; la seguridad de la infraestructura subyacente corresponde a AWS bajo el modelo de responsabilidad compartida.</w:t>
      </w:r>
    </w:p>
    <w:p>
      <w:pPr>
        <w:spacing w:after="120" w:line="360" w:lineRule="auto"/>
        <w:ind w:firstLine="720"/>
        <w:jc w:val="both"/>
      </w:pPr>
      <w:r>
        <w:rPr>
          <w:rFonts w:ascii="Arial" w:cs="Arial" w:eastAsia="Arial" w:hAnsi="Arial"/>
          <w:b w:val="false"/>
          <w:bCs w:val="false"/>
          <w:sz w:val="24"/>
          <w:szCs w:val="24"/>
        </w:rPr>
        <w:t xml:space="preserve">Revisamos los trece casos de abuso existentes (CA-01 a CA-13) frente a esta política. La mayoría son pruebas de autorización, validación, concurrencia breve, almacenamiento, fijación de certificado, RASP y secretos, que no inundan ni atacan a Cognito. Cuatro requieren rediseño para no infringir la prohibición de inundación, y dos de los casos nuevos del modelo de amenazas (CA-14 y CA-16) deben tratarse igual. La Tabla 11 resume la revisión.</w:t>
      </w:r>
    </w:p>
    <w:p>
      <w:pPr>
        <w:spacing w:after="0" w:before="160" w:line="240" w:lineRule="auto"/>
      </w:pPr>
      <w:r>
        <w:rPr>
          <w:rFonts w:ascii="Arial" w:cs="Arial" w:eastAsia="Arial" w:hAnsi="Arial"/>
          <w:b/>
          <w:bCs/>
          <w:sz w:val="24"/>
          <w:szCs w:val="24"/>
        </w:rPr>
        <w:t xml:space="preserve">Tabla 11</w:t>
      </w:r>
    </w:p>
    <w:p>
      <w:pPr>
        <w:spacing w:after="80" w:line="240" w:lineRule="auto"/>
      </w:pPr>
      <w:r>
        <w:rPr>
          <w:rFonts w:ascii="Arial" w:cs="Arial" w:eastAsia="Arial" w:hAnsi="Arial"/>
          <w:i/>
          <w:iCs/>
          <w:sz w:val="24"/>
          <w:szCs w:val="24"/>
        </w:rPr>
        <w:t xml:space="preserve">Revisión de los casos de abuso frente a la política de pentest de AWS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0"/>
        <w:gridCol w:w="2300"/>
        <w:gridCol w:w="1100"/>
        <w:gridCol w:w="2240"/>
        <w:gridCol w:w="3000"/>
      </w:tblGrid>
      <w:tr>
        <w:trPr>
          <w:tblHeader/>
        </w:trPr>
        <w:tc>
          <w:tcPr>
            <w:tcW w:type="dxa" w:w="72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5"/>
                <w:szCs w:val="15"/>
              </w:rPr>
              <w:t xml:space="preserve">CA</w:t>
            </w:r>
          </w:p>
        </w:tc>
        <w:tc>
          <w:tcPr>
            <w:tcW w:type="dxa" w:w="23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5"/>
                <w:szCs w:val="15"/>
              </w:rPr>
              <w:t xml:space="preserve">Abuso probado</w:t>
            </w:r>
          </w:p>
        </w:tc>
        <w:tc>
          <w:tcPr>
            <w:tcW w:type="dxa" w:w="11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5"/>
                <w:szCs w:val="15"/>
              </w:rPr>
              <w:t xml:space="preserve">Control</w:t>
            </w:r>
          </w:p>
        </w:tc>
        <w:tc>
          <w:tcPr>
            <w:tcW w:type="dxa" w:w="224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5"/>
                <w:szCs w:val="15"/>
              </w:rPr>
              <w:t xml:space="preserve">¿Infringe la política?</w:t>
            </w:r>
          </w:p>
        </w:tc>
        <w:tc>
          <w:tcPr>
            <w:tcW w:type="dxa" w:w="30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bCs/>
                <w:sz w:val="15"/>
                <w:szCs w:val="15"/>
              </w:rPr>
              <w:t xml:space="preserve">Rediseño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CA-01</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Leer movimientos de una cuenta ajena</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CTRL-01</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Sin cambio; una solicitud autorizada</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CA-02</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Fuerza bruta del PIN</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CTRL-02</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Sí (inundación a la API)</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Ráfaga corta: 6 intentos contra un umbral de 5, mostrar el bloqueo. El PIN es propio, no toca Cognito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CA-03</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Enumerar usuarios por teléfono</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CTRL-03, CTRL-05</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Sí (el 429 a escala es inundación)</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Pocas solicitudes para el enmascaramiento; para el 429, umbral bajo y 2 o 3 disparos</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CA-04</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PATCH /me con role=admin</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CTRL-04</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Sin cambio; una solicitud</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CA-05</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limit muy alto en movimientos</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CTRL-05</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Sin cambio; una solicitud</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CA-06</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Transferencias concurrentes con la misma clave</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CTRL-06</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Límite (ráfaga breve, no inundación)</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Ráfaga mínima (10 a 20 concurrentes, una vez); sin volumen sostenido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CA-07</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Extraer tokens del dispositivo</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CTRL-07</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 (local)</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Sin cambio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CA-08</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MITM con certificado de Burp</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CTRL-08</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 (local)</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Sin cambio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CA-09</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Acceder a /admin/* como cliente</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CTRL-14</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Sin cambio; una solicitud</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CA-10</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Hooking y root con Frida</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CTRL-15</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 (local)</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Sin cambio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CA-11</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Buscar secretos en el APK</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CTRL-16</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 (estático)</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Sin cambio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CA-12</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Payloads OWASP para el WAF</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CTRL-17</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Sí (el fuzzing masivo es DoS)</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Payloads individuales, uno por uno; sin fuzzing masivo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CA-13</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Token JWT alterado</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CTRL-18</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 (contra API Gateway)</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Sin cambio; se excluye la variante de forzar el inicio de sesión de Cognito</w:t>
            </w:r>
          </w:p>
        </w:tc>
      </w:tr>
      <w:tr>
        <w:tc>
          <w:tcPr>
            <w:tcW w:type="dxa" w:w="72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CA-14*</w:t>
            </w:r>
          </w:p>
        </w:tc>
        <w:tc>
          <w:tcPr>
            <w:tcW w:type="dxa" w:w="23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Credential stuffing y phishing de credenciales</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CTRL-18</w:t>
            </w:r>
          </w:p>
        </w:tc>
        <w:tc>
          <w:tcPr>
            <w:tcW w:type="dxa" w:w="224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Sí (ataca el login de Cognito y es inundación)</w:t>
            </w:r>
          </w:p>
        </w:tc>
        <w:tc>
          <w:tcPr>
            <w:tcW w:type="dxa" w:w="3000"/>
            <w:tcBorders>
              <w:top w:val="none" w:color="FFFFFF" w:sz="0"/>
              <w:left w:val="none" w:color="FFFFFF" w:sz="0"/>
              <w:bottom w:val="none" w:color="FFFFFF" w:sz="0"/>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 ejecutar contra Cognito; verificar MFA y bloqueo por configuración</w:t>
            </w:r>
          </w:p>
        </w:tc>
      </w:tr>
      <w:tr>
        <w:tc>
          <w:tcPr>
            <w:tcW w:type="dxa" w:w="72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CA-16*</w:t>
            </w:r>
          </w:p>
        </w:tc>
        <w:tc>
          <w:tcPr>
            <w:tcW w:type="dxa" w:w="23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Saturación de la API y consumo de costo</w:t>
            </w:r>
          </w:p>
        </w:tc>
        <w:tc>
          <w:tcPr>
            <w:tcW w:type="dxa" w:w="11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CTRL-17, CTRL-05</w:t>
            </w:r>
          </w:p>
        </w:tc>
        <w:tc>
          <w:tcPr>
            <w:tcW w:type="dxa" w:w="224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Sí (es DoS por definición)</w:t>
            </w:r>
          </w:p>
        </w:tc>
        <w:tc>
          <w:tcPr>
            <w:tcW w:type="dxa" w:w="30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after="0" w:line="240" w:lineRule="auto"/>
              <w:jc w:val="left"/>
            </w:pPr>
            <w:r>
              <w:rPr>
                <w:rFonts w:ascii="Arial" w:cs="Arial" w:eastAsia="Arial" w:hAnsi="Arial"/>
                <w:b w:val="false"/>
                <w:bCs w:val="false"/>
                <w:sz w:val="15"/>
                <w:szCs w:val="15"/>
              </w:rPr>
              <w:t xml:space="preserve">No ejecutar inundación real; verificar el throttling y la regla rate-based y mostrar el bloqueo con una ráfaga corta</w:t>
            </w:r>
          </w:p>
        </w:tc>
      </w:tr>
    </w:tbl>
    <w:p>
      <w:pPr>
        <w:spacing w:after="160" w:before="60" w:line="240" w:lineRule="auto"/>
      </w:pPr>
      <w:r>
        <w:rPr>
          <w:rFonts w:ascii="Arial" w:cs="Arial" w:eastAsia="Arial" w:hAnsi="Arial"/>
          <w:i/>
          <w:iCs/>
          <w:sz w:val="20"/>
          <w:szCs w:val="20"/>
        </w:rPr>
        <w:t xml:space="preserve">Nota. </w:t>
      </w:r>
      <w:r>
        <w:rPr>
          <w:rFonts w:ascii="Arial" w:cs="Arial" w:eastAsia="Arial" w:hAnsi="Arial"/>
          <w:sz w:val="20"/>
          <w:szCs w:val="20"/>
        </w:rPr>
        <w:t xml:space="preserve">Elaboración propia. CA-14 y CA-16, marcados con asterisco, son casos nuevos del modelo de amenazas (no estaban en los trece originales) pero también tocan la política y se incluyen por su relevancia. MITM: ataque de intermediario.</w:t>
      </w:r>
    </w:p>
    <w:p>
      <w:pPr>
        <w:pStyle w:val="Heading1"/>
        <w:spacing w:after="140" w:before="280" w:line="360" w:lineRule="auto"/>
      </w:pPr>
      <w:r>
        <w:rPr>
          <w:rFonts w:ascii="Arial" w:cs="Arial" w:eastAsia="Arial" w:hAnsi="Arial"/>
          <w:b/>
          <w:bCs/>
          <w:color w:val="0B1F3A"/>
          <w:sz w:val="28"/>
          <w:szCs w:val="28"/>
        </w:rPr>
        <w:t xml:space="preserve">   Referencias de la sección 1.5</w:t>
      </w:r>
    </w:p>
    <w:p>
      <w:pPr>
        <w:spacing w:after="100" w:line="360" w:lineRule="auto"/>
        <w:ind w:left="720" w:hanging="720"/>
        <w:jc w:val="both"/>
      </w:pPr>
      <w:r>
        <w:rPr>
          <w:rFonts w:ascii="Arial" w:cs="Arial" w:eastAsia="Arial" w:hAnsi="Arial"/>
          <w:sz w:val="24"/>
          <w:szCs w:val="24"/>
        </w:rPr>
        <w:t xml:space="preserve">Amazon Web Services. (s. f.-a). Penetration testing. https://aws.amazon.com/security/penetration-testing/</w:t>
      </w:r>
    </w:p>
    <w:p>
      <w:pPr>
        <w:spacing w:after="100" w:line="360" w:lineRule="auto"/>
        <w:ind w:left="720" w:hanging="720"/>
        <w:jc w:val="both"/>
      </w:pPr>
      <w:r>
        <w:rPr>
          <w:rFonts w:ascii="Arial" w:cs="Arial" w:eastAsia="Arial" w:hAnsi="Arial"/>
          <w:sz w:val="24"/>
          <w:szCs w:val="24"/>
        </w:rPr>
        <w:t xml:space="preserve">Amazon Web Services. (s. f.-b). Shared responsibility model. https://aws.amazon.com/compliance/shared-responsibility-model/</w:t>
      </w:r>
    </w:p>
    <w:p>
      <w:pPr>
        <w:spacing w:after="100" w:line="360" w:lineRule="auto"/>
        <w:ind w:left="720" w:hanging="720"/>
        <w:jc w:val="both"/>
      </w:pPr>
      <w:r>
        <w:rPr>
          <w:rFonts w:ascii="Arial" w:cs="Arial" w:eastAsia="Arial" w:hAnsi="Arial"/>
          <w:sz w:val="24"/>
          <w:szCs w:val="24"/>
        </w:rPr>
        <w:t xml:space="preserve">Center for Internet Security. (2024). CIS Docker Benchmark (Versión 1.7.0). https://www.cisecurity.org/benchmark/docker</w:t>
      </w:r>
    </w:p>
    <w:p>
      <w:pPr>
        <w:spacing w:after="100" w:line="360" w:lineRule="auto"/>
        <w:ind w:left="720" w:hanging="720"/>
        <w:jc w:val="both"/>
      </w:pPr>
      <w:r>
        <w:rPr>
          <w:rFonts w:ascii="Arial" w:cs="Arial" w:eastAsia="Arial" w:hAnsi="Arial"/>
          <w:sz w:val="24"/>
          <w:szCs w:val="24"/>
        </w:rPr>
        <w:t xml:space="preserve">Center for Internet Security. (2025). CIS Amazon Web Services Foundations Benchmark (Versión 5.0). https://www.cisecurity.org/benchmark/amazon_web_services</w:t>
      </w:r>
    </w:p>
    <w:p>
      <w:pPr>
        <w:spacing w:after="100" w:line="360" w:lineRule="auto"/>
        <w:ind w:left="720" w:hanging="720"/>
        <w:jc w:val="both"/>
      </w:pPr>
      <w:r>
        <w:rPr>
          <w:rFonts w:ascii="Arial" w:cs="Arial" w:eastAsia="Arial" w:hAnsi="Arial"/>
          <w:sz w:val="24"/>
          <w:szCs w:val="24"/>
        </w:rPr>
        <w:t xml:space="preserve">International Organization for Standardization &amp; International Electrotechnical Commission. (2022). Information security, cybersecurity and privacy protection: Information security management systems: Requirements (ISO/IEC 27001:2022). https://www.iso.org/standard/27001</w:t>
      </w:r>
    </w:p>
    <w:p>
      <w:pPr>
        <w:spacing w:after="100" w:line="360" w:lineRule="auto"/>
        <w:ind w:left="720" w:hanging="720"/>
        <w:jc w:val="both"/>
      </w:pPr>
      <w:r>
        <w:rPr>
          <w:rFonts w:ascii="Arial" w:cs="Arial" w:eastAsia="Arial" w:hAnsi="Arial"/>
          <w:sz w:val="24"/>
          <w:szCs w:val="24"/>
        </w:rPr>
        <w:t xml:space="preserve">OWASP Foundation. (s. f.-a). OWASP Mobile Application Security Verification Standard (MASVS). https://mas.owasp.org/MASVS/</w:t>
      </w:r>
    </w:p>
    <w:p>
      <w:pPr>
        <w:spacing w:after="100" w:line="360" w:lineRule="auto"/>
        <w:ind w:left="720" w:hanging="720"/>
        <w:jc w:val="both"/>
      </w:pPr>
      <w:r>
        <w:rPr>
          <w:rFonts w:ascii="Arial" w:cs="Arial" w:eastAsia="Arial" w:hAnsi="Arial"/>
          <w:sz w:val="24"/>
          <w:szCs w:val="24"/>
        </w:rPr>
        <w:t xml:space="preserve">OWASP Foundation. (s. f.-b). OWASP Web Security Testing Guide (WSTG). https://owasp.org/www-project-web-security-testing-guide/</w:t>
      </w:r>
    </w:p>
    <w:p>
      <w:pPr>
        <w:spacing w:after="100" w:line="360" w:lineRule="auto"/>
        <w:ind w:left="720" w:hanging="720"/>
        <w:jc w:val="both"/>
      </w:pPr>
      <w:r>
        <w:rPr>
          <w:rFonts w:ascii="Arial" w:cs="Arial" w:eastAsia="Arial" w:hAnsi="Arial"/>
          <w:sz w:val="24"/>
          <w:szCs w:val="24"/>
        </w:rPr>
        <w:t xml:space="preserve">OWASP Foundation. (2023). OWASP API Security Top 10 2023. https://owasp.org/API-Security/editions/2023/en/0x00-header/</w:t>
      </w:r>
    </w:p>
    <w:p>
      <w:pPr>
        <w:spacing w:after="100" w:line="360" w:lineRule="auto"/>
        <w:ind w:left="720" w:hanging="720"/>
        <w:jc w:val="both"/>
      </w:pPr>
      <w:r>
        <w:rPr>
          <w:rFonts w:ascii="Arial" w:cs="Arial" w:eastAsia="Arial" w:hAnsi="Arial"/>
          <w:sz w:val="24"/>
          <w:szCs w:val="24"/>
        </w:rPr>
        <w:t xml:space="preserve">OWASP Foundation. (2024). OWASP Threat Dragon. https://owasp.org/www-project-threat-dragon/</w:t>
      </w:r>
    </w:p>
    <w:p>
      <w:pPr>
        <w:spacing w:after="100" w:line="360" w:lineRule="auto"/>
        <w:ind w:left="720" w:hanging="720"/>
        <w:jc w:val="both"/>
      </w:pPr>
      <w:r>
        <w:rPr>
          <w:rFonts w:ascii="Arial" w:cs="Arial" w:eastAsia="Arial" w:hAnsi="Arial"/>
          <w:sz w:val="24"/>
          <w:szCs w:val="24"/>
        </w:rPr>
        <w:t xml:space="preserve">OWASP Foundation. (2025). OWASP Top 10:2025. https://owasp.org/Top10/2025/</w:t>
      </w:r>
    </w:p>
    <w:p>
      <w:pPr>
        <w:spacing w:after="100" w:line="360" w:lineRule="auto"/>
        <w:ind w:left="720" w:hanging="720"/>
        <w:jc w:val="both"/>
      </w:pPr>
      <w:r>
        <w:rPr>
          <w:rFonts w:ascii="Arial" w:cs="Arial" w:eastAsia="Arial" w:hAnsi="Arial"/>
          <w:sz w:val="24"/>
          <w:szCs w:val="24"/>
        </w:rPr>
        <w:t xml:space="preserve">Scarfone, K., Souppaya, M., Cody, A., &amp; Orebaugh, A. (2008). Technical guide to information security testing and assessment (NIST SP 800-115). National Institute of Standards and Technology. https://doi.org/10.6028/NIST.SP.800-115</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B1F3A"/>
      <w:sz w:val="28"/>
      <w:szCs w:val="28"/>
    </w:rPr>
  </w:style>
  <w:style w:type="paragraph" w:styleId="Heading2">
    <w:name w:val="Heading 2"/>
    <w:basedOn w:val="Normal"/>
    <w:next w:val="Normal"/>
    <w:qFormat/>
    <w:pPr>
      <w:outlineLvl w:val="1"/>
    </w:pPr>
    <w:rPr>
      <w:rFonts w:ascii="Arial" w:cs="Arial" w:eastAsia="Arial" w:hAnsi="Arial"/>
      <w:b/>
      <w:bCs/>
      <w:color w:val="0F172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4db9147a4eec39b30545e83e4a25455a55e7f6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1 - Sección 1.5 Definición del scope técnico</dc:title>
  <dc:creator>Q-Wallet, S.A. - Equipo de Seguridad</dc:creator>
  <cp:lastModifiedBy>Un-named</cp:lastModifiedBy>
  <cp:revision>1</cp:revision>
  <dcterms:created xsi:type="dcterms:W3CDTF">2026-10-10T18:16:54.799Z</dcterms:created>
  <dcterms:modified xsi:type="dcterms:W3CDTF">2026-10-10T18:16:54.804Z</dcterms:modified>
</cp:coreProperties>
</file>

<file path=docProps/custom.xml><?xml version="1.0" encoding="utf-8"?>
<Properties xmlns="http://schemas.openxmlformats.org/officeDocument/2006/custom-properties" xmlns:vt="http://schemas.openxmlformats.org/officeDocument/2006/docPropsVTypes"/>
</file>