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60" w:line="360" w:lineRule="auto"/>
      </w:pPr>
      <w:r>
        <w:t>3. Evaluación de seguridad</w:t>
      </w:r>
    </w:p>
    <w:p>
      <w:pPr>
        <w:spacing w:before="0" w:after="160" w:line="360" w:lineRule="auto"/>
        <w:ind w:firstLine="720"/>
        <w:jc w:val="both"/>
      </w:pPr>
      <w:r>
        <w:rPr>
          <w:i w:val="0"/>
          <w:sz w:val="24"/>
        </w:rPr>
        <w:t>Esta parte del informe reúne las pruebas que hicimos sobre el código y sus dependencias durante la Fase 3 del enunciado (desarrollo seguro y automatización DevSecOps). Las secciones 3.4 y 3.5 presentan el análisis estático de código (SAST) y el análisis de composición de software (SCA). Las pruebas de penetración de caja negra y gris, la evaluación OWASP API Top 10 y la evaluación de la arquitectura cloud (secciones 3.1, 3.2, 3.3 y 3.6) corresponden a la Fase 4 y se agregan al informe cuando terminen.</w:t>
      </w:r>
    </w:p>
    <w:p>
      <w:pPr>
        <w:pStyle w:val="Heading2"/>
        <w:spacing w:before="0" w:after="160" w:line="360" w:lineRule="auto"/>
      </w:pPr>
      <w:r>
        <w:t>3.4 SAST (código móvil y backend)</w:t>
      </w:r>
    </w:p>
    <w:p>
      <w:pPr>
        <w:spacing w:before="0" w:after="160" w:line="360" w:lineRule="auto"/>
        <w:ind w:firstLine="720"/>
        <w:jc w:val="both"/>
      </w:pPr>
      <w:r>
        <w:rPr>
          <w:i w:val="0"/>
          <w:sz w:val="24"/>
        </w:rPr>
        <w:t>Analizamos el código fuente de la app Android (carpeta mobile) y de los cinco microservicios (carpeta services) con dos herramientas distintas, para que una cubra lo que la otra no ve. Semgrep busca patrones con reglas públicas de la comunidad y con reglas propias que escribimos para Q-Wallet. CodeQL, el motor de GitHub, compila el código a una base de datos y sigue el recorrido de los datos desde la entrada hasta funciones peligrosas (análisis de flujo). Ambas corren en GitHub Actions en cada pull request, en cada cambio de la rama main y cada lunes; el resultado se publica en la pestaña de seguridad del repositorio y como comentario del pull request. La Tabla 30 resume la última ejecución sobre el código del bloque 3.</w:t>
      </w:r>
    </w:p>
    <w:p>
      <w:pPr>
        <w:keepNext/>
        <w:spacing w:before="0" w:after="160" w:line="360" w:lineRule="auto"/>
      </w:pPr>
      <w:r>
        <w:rPr>
          <w:b/>
          <w:sz w:val="24"/>
        </w:rPr>
        <w:t>Tabla 30</w:t>
      </w:r>
    </w:p>
    <w:p>
      <w:pPr>
        <w:keepNext/>
        <w:spacing w:before="0" w:after="160" w:line="360" w:lineRule="auto"/>
      </w:pPr>
      <w:r>
        <w:rPr>
          <w:i/>
          <w:sz w:val="24"/>
        </w:rPr>
        <w:t>Resultado del análisis estático de código (SAST)</w:t>
      </w:r>
    </w:p>
    <w:tbl>
      <w:tblPr>
        <w:tblW w:type="auto" w:w="0"/>
        <w:tblLayout w:type="fixed"/>
        <w:tblLook w:firstColumn="1" w:firstRow="1" w:lastColumn="0" w:lastRow="0" w:noHBand="0" w:noVBand="1" w:val="04A0"/>
      </w:tblPr>
      <w:tblGrid>
        <w:gridCol w:w="2389"/>
        <w:gridCol w:w="2057"/>
        <w:gridCol w:w="1233"/>
        <w:gridCol w:w="1254"/>
        <w:gridCol w:w="978"/>
        <w:gridCol w:w="1446"/>
      </w:tblGrid>
      <w:tr>
        <w:trPr>
          <w:cantSplit/>
          <w:tblHeader/>
        </w:trPr>
        <w:tc>
          <w:tcPr>
            <w:tcW w:type="dxa" w:w="238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Herramienta</w:t>
            </w:r>
          </w:p>
        </w:tc>
        <w:tc>
          <w:tcPr>
            <w:tcW w:type="dxa" w:w="205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Alcance</w:t>
            </w:r>
          </w:p>
        </w:tc>
        <w:tc>
          <w:tcPr>
            <w:tcW w:type="dxa" w:w="123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Reglas</w:t>
            </w:r>
          </w:p>
        </w:tc>
        <w:tc>
          <w:tcPr>
            <w:tcW w:type="dxa" w:w="125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Hallazgos</w:t>
            </w:r>
          </w:p>
        </w:tc>
        <w:tc>
          <w:tcPr>
            <w:tcW w:type="dxa" w:w="97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Graves</w:t>
            </w:r>
          </w:p>
        </w:tc>
        <w:tc>
          <w:tcPr>
            <w:tcW w:type="dxa" w:w="144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Compuerta</w:t>
            </w:r>
          </w:p>
        </w:tc>
      </w:tr>
      <w:tr>
        <w:trPr>
          <w:cantSplit/>
        </w:trPr>
        <w:tc>
          <w:tcPr>
            <w:tcW w:type="dxa" w:w="23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Semgrep 1.179.0</w:t>
            </w:r>
          </w:p>
        </w:tc>
        <w:tc>
          <w:tcPr>
            <w:tcW w:type="dxa" w:w="205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services y mobile (TypeScript, TSX, Dockerfile)</w:t>
            </w:r>
          </w:p>
        </w:tc>
        <w:tc>
          <w:tcPr>
            <w:tcW w:type="dxa" w:w="12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608 públicas + 7 propias</w:t>
            </w:r>
          </w:p>
        </w:tc>
        <w:tc>
          <w:tcPr>
            <w:tcW w:type="dxa" w:w="1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97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144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Pasa</w:t>
            </w:r>
          </w:p>
        </w:tc>
      </w:tr>
      <w:tr>
        <w:trPr>
          <w:cantSplit/>
        </w:trPr>
        <w:tc>
          <w:tcPr>
            <w:tcW w:type="dxa" w:w="238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CodeQL (security‑extended)</w:t>
            </w:r>
          </w:p>
        </w:tc>
        <w:tc>
          <w:tcPr>
            <w:tcW w:type="dxa" w:w="205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services y mobile (JavaScript y TypeScript)</w:t>
            </w:r>
          </w:p>
        </w:tc>
        <w:tc>
          <w:tcPr>
            <w:tcW w:type="dxa" w:w="123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103</w:t>
            </w:r>
          </w:p>
        </w:tc>
        <w:tc>
          <w:tcPr>
            <w:tcW w:type="dxa" w:w="125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97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144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Pasa</w:t>
            </w:r>
          </w:p>
        </w:tc>
      </w:tr>
    </w:tbl>
    <w:p>
      <w:pPr>
        <w:spacing w:before="0" w:after="160" w:line="360" w:lineRule="auto"/>
        <w:jc w:val="both"/>
      </w:pPr>
      <w:r>
        <w:rPr>
          <w:i/>
          <w:sz w:val="24"/>
        </w:rPr>
        <w:t xml:space="preserve">Nota. </w:t>
      </w:r>
      <w:r>
        <w:rPr>
          <w:sz w:val="24"/>
        </w:rPr>
        <w:t>Grave = nivel error o severidad de seguridad de 7.0 o más (escala CVSS que usan ambas herramientas); un hallazgo grave detiene el flujo. Reglas públicas de Semgrep: p/owasp-top-ten, p/nodejs, p/typescript, p/javascript, p/react, p/secrets y p/dockerfile. Ejecución del 30 de octubre de 2026 sobre el pull request 36 (evidencias EVD-3-02 y EVD-3-03).</w:t>
      </w:r>
    </w:p>
    <w:p>
      <w:pPr>
        <w:spacing w:before="0" w:after="160" w:line="360" w:lineRule="auto"/>
        <w:ind w:firstLine="720"/>
        <w:jc w:val="both"/>
      </w:pPr>
      <w:r>
        <w:rPr>
          <w:i w:val="0"/>
          <w:sz w:val="24"/>
        </w:rPr>
        <w:t>Cero hallazgos no significa que el código no tenga errores: significa que ninguna regla encontró un patrón inseguro conocido. Por eso no nos quedamos con ese resultado. Primero, escribimos siete reglas propias que convierten controles de diseño en verificaciones automáticas (Tabla 31): si alguien vuelve a escribir, por ejemplo, un Scan de DynamoDB o un console.log del cuerpo de la solicitud, el flujo falla aunque las reglas públicas no lo marquen. Segundo, para comprobar que esas reglas sí detectan lo que dicen, el flujo corre semgrep --test sobre un archivo con casos buenos y malos; las siete pasaron. Tercero, el SAST no entiende la lógica de negocio (por ejemplo, si un usuario puede leer la cuenta de otro). Eso lo cubren las pruebas unitarias por control de la sección 4.4 y, desde afuera, las pruebas de caja gris de la Fase 4.</w:t>
      </w:r>
    </w:p>
    <w:p>
      <w:pPr>
        <w:keepNext/>
        <w:spacing w:before="0" w:after="160" w:line="360" w:lineRule="auto"/>
      </w:pPr>
      <w:r>
        <w:rPr>
          <w:b/>
          <w:sz w:val="24"/>
        </w:rPr>
        <w:t>Tabla 31</w:t>
      </w:r>
    </w:p>
    <w:p>
      <w:pPr>
        <w:keepNext/>
        <w:spacing w:before="0" w:after="160" w:line="360" w:lineRule="auto"/>
      </w:pPr>
      <w:r>
        <w:rPr>
          <w:i/>
          <w:sz w:val="24"/>
        </w:rPr>
        <w:t>Reglas propias de Semgrep para Q-Wallet</w:t>
      </w:r>
    </w:p>
    <w:tbl>
      <w:tblPr>
        <w:tblW w:type="auto" w:w="0"/>
        <w:tblLayout w:type="fixed"/>
        <w:tblLook w:firstColumn="1" w:firstRow="1" w:lastColumn="0" w:lastRow="0" w:noHBand="0" w:noVBand="1" w:val="04A0"/>
      </w:tblPr>
      <w:tblGrid>
        <w:gridCol w:w="4456"/>
        <w:gridCol w:w="3433"/>
        <w:gridCol w:w="1470"/>
      </w:tblGrid>
      <w:tr>
        <w:trPr>
          <w:cantSplit/>
          <w:tblHeader/>
        </w:trPr>
        <w:tc>
          <w:tcPr>
            <w:tcW w:type="dxa" w:w="445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Regla</w:t>
            </w:r>
          </w:p>
        </w:tc>
        <w:tc>
          <w:tcPr>
            <w:tcW w:type="dxa" w:w="343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Qué detecta</w:t>
            </w:r>
          </w:p>
        </w:tc>
        <w:tc>
          <w:tcPr>
            <w:tcW w:type="dxa" w:w="147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Control</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qwallet‑dynamodb‑scan</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Uso de ScanCommand (lee toda una tabla)</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CTRL‑05</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qwallet‑log‑cuerpo‑solicitud</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console.* con el cuerpo o las cabeceras de la solicitud</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CTRL‑09</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qwallet‑comparacion‑pin‑directa</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Comparar el PIN o su hash con ===</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CTRL‑02</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qwallet‑aleatorio‑inseguro</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Math.random() en el backend</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CTRL‑06</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qwallet‑cuerpo‑sin‑zod</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JSON.parse del cuerpo sin esquema de validación</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CTRL‑04</w:t>
            </w:r>
          </w:p>
        </w:tc>
      </w:tr>
      <w:tr>
        <w:trPr>
          <w:cantSplit/>
        </w:trPr>
        <w:tc>
          <w:tcPr>
            <w:tcW w:type="dxa" w:w="44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qwallet‑zod‑sin‑strict</w:t>
            </w:r>
          </w:p>
        </w:tc>
        <w:tc>
          <w:tcPr>
            <w:tcW w:type="dxa" w:w="3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Esquema z.object sin .strict()</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CTRL‑04</w:t>
            </w:r>
          </w:p>
        </w:tc>
      </w:tr>
      <w:tr>
        <w:trPr>
          <w:cantSplit/>
        </w:trPr>
        <w:tc>
          <w:tcPr>
            <w:tcW w:type="dxa" w:w="445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qwallet‑access‑control‑allow‑origin</w:t>
            </w:r>
          </w:p>
        </w:tc>
        <w:tc>
          <w:tcPr>
            <w:tcW w:type="dxa" w:w="343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Cabecera CORS en las respuestas de la API</w:t>
            </w:r>
          </w:p>
        </w:tc>
        <w:tc>
          <w:tcPr>
            <w:tcW w:type="dxa" w:w="147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CTRL‑13</w:t>
            </w:r>
          </w:p>
        </w:tc>
      </w:tr>
    </w:tbl>
    <w:p>
      <w:pPr>
        <w:spacing w:before="0" w:after="160" w:line="360" w:lineRule="auto"/>
        <w:jc w:val="both"/>
      </w:pPr>
      <w:r>
        <w:rPr>
          <w:i/>
          <w:sz w:val="24"/>
        </w:rPr>
        <w:t xml:space="preserve">Nota. </w:t>
      </w:r>
      <w:r>
        <w:rPr>
          <w:sz w:val="24"/>
        </w:rPr>
        <w:t>Archivo .semgrep/qwallet.yml del repositorio; sus casos de prueba están en .semgrep/qwallet.ts. Todas son de nivel error salvo qwallet-zod-sin-strict (aviso).</w:t>
      </w:r>
    </w:p>
    <w:p>
      <w:pPr>
        <w:pStyle w:val="Heading2"/>
        <w:spacing w:before="0" w:after="160" w:line="360" w:lineRule="auto"/>
      </w:pPr>
      <w:r>
        <w:t>3.5 SCA (dependencias móviles y backend)</w:t>
      </w:r>
    </w:p>
    <w:p>
      <w:pPr>
        <w:spacing w:before="0" w:after="160" w:line="360" w:lineRule="auto"/>
        <w:ind w:firstLine="720"/>
        <w:jc w:val="both"/>
      </w:pPr>
      <w:r>
        <w:rPr>
          <w:i w:val="0"/>
          <w:sz w:val="24"/>
        </w:rPr>
        <w:t>El análisis de composición revisa las bibliotecas de terceros contra bases de vulnerabilidades públicas. Revisamos tres cosas: las dependencias de los microservicios, las de la app Android y las imágenes de contenedor de las Lambdas. Para las dos primeras usamos npm audit (base de avisos de GitHub) con una compuerta propia y Trivy como segunda opinión; para las imágenes usamos Trivy. La compuerta (CTRL-10) falla con cualquier aviso High o Critical que no tenga una excepción aprobada y vigente. Cada excepción vive en el repositorio con su motivo y una fecha límite; al vencer, el flujo vuelve a fallar. La Tabla 32 muestra los resultados.</w:t>
      </w:r>
    </w:p>
    <w:p>
      <w:pPr>
        <w:keepNext/>
        <w:spacing w:before="0" w:after="160" w:line="360" w:lineRule="auto"/>
      </w:pPr>
      <w:r>
        <w:rPr>
          <w:b/>
          <w:sz w:val="24"/>
        </w:rPr>
        <w:t>Tabla 32</w:t>
      </w:r>
    </w:p>
    <w:p>
      <w:pPr>
        <w:keepNext/>
        <w:spacing w:before="0" w:after="160" w:line="360" w:lineRule="auto"/>
      </w:pPr>
      <w:r>
        <w:rPr>
          <w:i/>
          <w:sz w:val="24"/>
        </w:rPr>
        <w:t>Resultado del análisis de composición de software (SCA)</w:t>
      </w:r>
    </w:p>
    <w:tbl>
      <w:tblPr>
        <w:tblW w:type="auto" w:w="0"/>
        <w:tblLayout w:type="fixed"/>
        <w:tblLook w:firstColumn="1" w:firstRow="1" w:lastColumn="0" w:lastRow="0" w:noHBand="0" w:noVBand="1" w:val="04A0"/>
      </w:tblPr>
      <w:tblGrid>
        <w:gridCol w:w="2497"/>
        <w:gridCol w:w="1899"/>
        <w:gridCol w:w="928"/>
        <w:gridCol w:w="674"/>
        <w:gridCol w:w="877"/>
        <w:gridCol w:w="715"/>
        <w:gridCol w:w="1766"/>
      </w:tblGrid>
      <w:tr>
        <w:trPr>
          <w:cantSplit/>
          <w:tblHeader/>
        </w:trPr>
        <w:tc>
          <w:tcPr>
            <w:tcW w:type="dxa" w:w="249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Componente</w:t>
            </w:r>
          </w:p>
        </w:tc>
        <w:tc>
          <w:tcPr>
            <w:tcW w:type="dxa" w:w="190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Herramienta</w:t>
            </w:r>
          </w:p>
        </w:tc>
        <w:tc>
          <w:tcPr>
            <w:tcW w:type="dxa" w:w="92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Crítica</w:t>
            </w:r>
          </w:p>
        </w:tc>
        <w:tc>
          <w:tcPr>
            <w:tcW w:type="dxa" w:w="67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Alta</w:t>
            </w:r>
          </w:p>
        </w:tc>
        <w:tc>
          <w:tcPr>
            <w:tcW w:type="dxa" w:w="87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Media</w:t>
            </w:r>
          </w:p>
        </w:tc>
        <w:tc>
          <w:tcPr>
            <w:tcW w:type="dxa" w:w="71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Baja</w:t>
            </w:r>
          </w:p>
        </w:tc>
        <w:tc>
          <w:tcPr>
            <w:tcW w:type="dxa" w:w="176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Compuerta</w:t>
            </w:r>
          </w:p>
        </w:tc>
      </w:tr>
      <w:tr>
        <w:trPr>
          <w:cantSplit/>
        </w:trPr>
        <w:tc>
          <w:tcPr>
            <w:tcW w:type="dxa" w:w="249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Microservicios (services)</w:t>
            </w:r>
          </w:p>
        </w:tc>
        <w:tc>
          <w:tcPr>
            <w:tcW w:type="dxa" w:w="19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npm audit / Trivy 0.75.0</w:t>
            </w:r>
          </w:p>
        </w:tc>
        <w:tc>
          <w:tcPr>
            <w:tcW w:type="dxa" w:w="92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87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7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17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Pasa</w:t>
            </w:r>
          </w:p>
        </w:tc>
      </w:tr>
      <w:tr>
        <w:trPr>
          <w:cantSplit/>
        </w:trPr>
        <w:tc>
          <w:tcPr>
            <w:tcW w:type="dxa" w:w="249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App Android (mobile), antes</w:t>
            </w:r>
          </w:p>
        </w:tc>
        <w:tc>
          <w:tcPr>
            <w:tcW w:type="dxa" w:w="19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npm audit</w:t>
            </w:r>
          </w:p>
        </w:tc>
        <w:tc>
          <w:tcPr>
            <w:tcW w:type="dxa" w:w="92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7</w:t>
            </w:r>
          </w:p>
        </w:tc>
        <w:tc>
          <w:tcPr>
            <w:tcW w:type="dxa" w:w="87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w:t>
            </w:r>
          </w:p>
        </w:tc>
        <w:tc>
          <w:tcPr>
            <w:tcW w:type="dxa" w:w="7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5</w:t>
            </w:r>
          </w:p>
        </w:tc>
        <w:tc>
          <w:tcPr>
            <w:tcW w:type="dxa" w:w="17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Falla (zod 4.6.5)</w:t>
            </w:r>
          </w:p>
        </w:tc>
      </w:tr>
      <w:tr>
        <w:trPr>
          <w:cantSplit/>
        </w:trPr>
        <w:tc>
          <w:tcPr>
            <w:tcW w:type="dxa" w:w="249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App Android (mobile), después</w:t>
            </w:r>
          </w:p>
        </w:tc>
        <w:tc>
          <w:tcPr>
            <w:tcW w:type="dxa" w:w="19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npm audit</w:t>
            </w:r>
          </w:p>
        </w:tc>
        <w:tc>
          <w:tcPr>
            <w:tcW w:type="dxa" w:w="92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7</w:t>
            </w:r>
          </w:p>
        </w:tc>
        <w:tc>
          <w:tcPr>
            <w:tcW w:type="dxa" w:w="87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w:t>
            </w:r>
          </w:p>
        </w:tc>
        <w:tc>
          <w:tcPr>
            <w:tcW w:type="dxa" w:w="7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5</w:t>
            </w:r>
          </w:p>
        </w:tc>
        <w:tc>
          <w:tcPr>
            <w:tcW w:type="dxa" w:w="17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Pasa con 3 excepciones</w:t>
            </w:r>
          </w:p>
        </w:tc>
      </w:tr>
      <w:tr>
        <w:trPr>
          <w:cantSplit/>
        </w:trPr>
        <w:tc>
          <w:tcPr>
            <w:tcW w:type="dxa" w:w="249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Imágenes de Lambda, antes</w:t>
            </w:r>
          </w:p>
        </w:tc>
        <w:tc>
          <w:tcPr>
            <w:tcW w:type="dxa" w:w="19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Trivy 0.75.0</w:t>
            </w:r>
          </w:p>
        </w:tc>
        <w:tc>
          <w:tcPr>
            <w:tcW w:type="dxa" w:w="92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24</w:t>
            </w:r>
          </w:p>
        </w:tc>
        <w:tc>
          <w:tcPr>
            <w:tcW w:type="dxa" w:w="87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28</w:t>
            </w:r>
          </w:p>
        </w:tc>
        <w:tc>
          <w:tcPr>
            <w:tcW w:type="dxa" w:w="7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w:t>
            </w:r>
          </w:p>
        </w:tc>
        <w:tc>
          <w:tcPr>
            <w:tcW w:type="dxa" w:w="17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Falla</w:t>
            </w:r>
          </w:p>
        </w:tc>
      </w:tr>
      <w:tr>
        <w:trPr>
          <w:cantSplit/>
        </w:trPr>
        <w:tc>
          <w:tcPr>
            <w:tcW w:type="dxa" w:w="249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Imágenes de Lambda, después</w:t>
            </w:r>
          </w:p>
        </w:tc>
        <w:tc>
          <w:tcPr>
            <w:tcW w:type="dxa" w:w="190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Trivy 0.75.0</w:t>
            </w:r>
          </w:p>
        </w:tc>
        <w:tc>
          <w:tcPr>
            <w:tcW w:type="dxa" w:w="92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67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87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1</w:t>
            </w:r>
          </w:p>
        </w:tc>
        <w:tc>
          <w:tcPr>
            <w:tcW w:type="dxa" w:w="71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0</w:t>
            </w:r>
          </w:p>
        </w:tc>
        <w:tc>
          <w:tcPr>
            <w:tcW w:type="dxa" w:w="176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Pasa</w:t>
            </w:r>
          </w:p>
        </w:tc>
      </w:tr>
    </w:tbl>
    <w:p>
      <w:pPr>
        <w:spacing w:before="0" w:after="160" w:line="360" w:lineRule="auto"/>
        <w:jc w:val="both"/>
      </w:pPr>
      <w:r>
        <w:rPr>
          <w:i/>
          <w:sz w:val="24"/>
        </w:rPr>
        <w:t xml:space="preserve">Nota. </w:t>
      </w:r>
      <w:r>
        <w:rPr>
          <w:sz w:val="24"/>
        </w:rPr>
        <w:t>npm audit cuenta paquetes afectados; en la app, los 7 paquetes de severidad alta vienen de 3 avisos distintos (Tabla 33). En las imágenes las cifras son por imagen (las cinco dan lo mismo) y la compuerta solo bloquea las altas o críticas que ya tienen corrección. La única media que queda es ca-certificates del sistema operativo base (Amazon Linux 2023), que se corrige cuando AWS publique la imagen nueva. Trivy, como segunda opinión sobre las dependencias, coincide: 0 en los microservicios y 5 en la app (2 altas: decode-uri-component y node-forge, las mismas de HAL-02 y HAL-03). Evidencias EVD-3-04 y EVD-3-05.</w:t>
      </w:r>
    </w:p>
    <w:p>
      <w:pPr>
        <w:spacing w:before="0" w:after="160" w:line="360" w:lineRule="auto"/>
        <w:ind w:firstLine="720"/>
        <w:jc w:val="both"/>
      </w:pPr>
      <w:r>
        <w:rPr>
          <w:i w:val="0"/>
          <w:sz w:val="24"/>
        </w:rPr>
        <w:t>Todo hallazgo real se registró con un identificador HAL y su tratamiento (Tabla 33). El más relevante fue HAL-01: la versión de zod que fijamos el 3 de octubre (4.6.5) está afectada por el aviso GHSA-mrhx-c7xc-m3w5 (agotamiento de memoria al validar listas muy grandes), publicado el 1 de octubre; no lo notamos al fijarla y apareció al correr npm audit para armar la compuerta. Es el caso que el análisis automático evita. La subimos a 4.6.7 en la app y en los microservicios, y además todos nuestros esquemas limitan el tamaño del cuerpo y de las listas. Para demostrar que la compuerta funciona, abrimos un pull request de prueba (número 37) que volvía a poner zod 4.6.5 en los microservicios: la etapa SCA falló con ese aviso y el pull request quedó bloqueado (evidencia EVD-3-10).</w:t>
      </w:r>
    </w:p>
    <w:p>
      <w:pPr>
        <w:keepNext/>
        <w:spacing w:before="0" w:after="160" w:line="360" w:lineRule="auto"/>
      </w:pPr>
      <w:r>
        <w:rPr>
          <w:b/>
          <w:sz w:val="24"/>
        </w:rPr>
        <w:t>Tabla 33</w:t>
      </w:r>
    </w:p>
    <w:p>
      <w:pPr>
        <w:keepNext/>
        <w:spacing w:before="0" w:after="160" w:line="360" w:lineRule="auto"/>
      </w:pPr>
      <w:r>
        <w:rPr>
          <w:i/>
          <w:sz w:val="24"/>
        </w:rPr>
        <w:t>Hallazgos de SAST, SCA e imágenes y su tratamiento</w:t>
      </w:r>
    </w:p>
    <w:tbl>
      <w:tblPr>
        <w:tblW w:type="auto" w:w="0"/>
        <w:tblLayout w:type="fixed"/>
        <w:tblLook w:firstColumn="1" w:firstRow="1" w:lastColumn="0" w:lastRow="0" w:noHBand="0" w:noVBand="1" w:val="04A0"/>
      </w:tblPr>
      <w:tblGrid>
        <w:gridCol w:w="977"/>
        <w:gridCol w:w="4074"/>
        <w:gridCol w:w="1185"/>
        <w:gridCol w:w="1968"/>
        <w:gridCol w:w="1154"/>
      </w:tblGrid>
      <w:tr>
        <w:trPr>
          <w:cantSplit/>
          <w:tblHeader/>
        </w:trPr>
        <w:tc>
          <w:tcPr>
            <w:tcW w:type="dxa" w:w="97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HAL</w:t>
            </w:r>
          </w:p>
        </w:tc>
        <w:tc>
          <w:tcPr>
            <w:tcW w:type="dxa" w:w="407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Hallazgo</w:t>
            </w:r>
          </w:p>
        </w:tc>
        <w:tc>
          <w:tcPr>
            <w:tcW w:type="dxa" w:w="118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Severidad</w:t>
            </w:r>
          </w:p>
        </w:tc>
        <w:tc>
          <w:tcPr>
            <w:tcW w:type="dxa" w:w="196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Tratamiento</w:t>
            </w:r>
          </w:p>
        </w:tc>
        <w:tc>
          <w:tcPr>
            <w:tcW w:type="dxa" w:w="115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Estado</w:t>
            </w:r>
          </w:p>
        </w:tc>
      </w:tr>
      <w:tr>
        <w:trPr>
          <w:cantSplit/>
        </w:trPr>
        <w:tc>
          <w:tcPr>
            <w:tcW w:type="dxa" w:w="97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HAL‑01</w:t>
            </w:r>
          </w:p>
        </w:tc>
        <w:tc>
          <w:tcPr>
            <w:tcW w:type="dxa" w:w="407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zod 4.6.5 en la app y en la versión fijada para los microservicios (GHSA‑mrhx‑c7xc‑m3w5)</w:t>
            </w:r>
          </w:p>
        </w:tc>
        <w:tc>
          <w:tcPr>
            <w:tcW w:type="dxa" w:w="118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Alta</w:t>
            </w:r>
          </w:p>
        </w:tc>
        <w:tc>
          <w:tcPr>
            <w:tcW w:type="dxa" w:w="19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Mitigar: zod 4.6.7</w:t>
            </w:r>
          </w:p>
        </w:tc>
        <w:tc>
          <w:tcPr>
            <w:tcW w:type="dxa" w:w="11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Cerrado</w:t>
            </w:r>
          </w:p>
        </w:tc>
      </w:tr>
      <w:tr>
        <w:trPr>
          <w:cantSplit/>
        </w:trPr>
        <w:tc>
          <w:tcPr>
            <w:tcW w:type="dxa" w:w="97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HAL‑02</w:t>
            </w:r>
          </w:p>
        </w:tc>
        <w:tc>
          <w:tcPr>
            <w:tcW w:type="dxa" w:w="407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decode‑uri‑component 0.2.2 dentro de expo‑router 57 (GHSA‑qr28‑fpjm‑wq7f): congela la app con un enlace malformado</w:t>
            </w:r>
          </w:p>
        </w:tc>
        <w:tc>
          <w:tcPr>
            <w:tcW w:type="dxa" w:w="118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Alta</w:t>
            </w:r>
          </w:p>
        </w:tc>
        <w:tc>
          <w:tcPr>
            <w:tcW w:type="dxa" w:w="19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Aceptar hasta el 28‑nov‑2026: corregirlo exige Expo SDK 58</w:t>
            </w:r>
          </w:p>
        </w:tc>
        <w:tc>
          <w:tcPr>
            <w:tcW w:type="dxa" w:w="11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Aceptado</w:t>
            </w:r>
          </w:p>
        </w:tc>
      </w:tr>
      <w:tr>
        <w:trPr>
          <w:cantSplit/>
        </w:trPr>
        <w:tc>
          <w:tcPr>
            <w:tcW w:type="dxa" w:w="97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HAL‑03</w:t>
            </w:r>
          </w:p>
        </w:tc>
        <w:tc>
          <w:tcPr>
            <w:tcW w:type="dxa" w:w="407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node‑forge 1.4.0 y zod 3.25.76 dentro de la herramienta de compilación de Expo (@expo/cli)</w:t>
            </w:r>
          </w:p>
        </w:tc>
        <w:tc>
          <w:tcPr>
            <w:tcW w:type="dxa" w:w="118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Alta</w:t>
            </w:r>
          </w:p>
        </w:tc>
        <w:tc>
          <w:tcPr>
            <w:tcW w:type="dxa" w:w="19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Aceptar: no van dentro del APK</w:t>
            </w:r>
          </w:p>
        </w:tc>
        <w:tc>
          <w:tcPr>
            <w:tcW w:type="dxa" w:w="11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Aceptado</w:t>
            </w:r>
          </w:p>
        </w:tc>
      </w:tr>
      <w:tr>
        <w:trPr>
          <w:cantSplit/>
        </w:trPr>
        <w:tc>
          <w:tcPr>
            <w:tcW w:type="dxa" w:w="97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HAL‑04</w:t>
            </w:r>
          </w:p>
        </w:tc>
        <w:tc>
          <w:tcPr>
            <w:tcW w:type="dxa" w:w="407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 pantalla de bienvenida decía «cifrado de extremo a extremo» y «cumplimiento JM‑104‑2021»</w:t>
            </w:r>
          </w:p>
        </w:tc>
        <w:tc>
          <w:tcPr>
            <w:tcW w:type="dxa" w:w="118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Baja</w:t>
            </w:r>
          </w:p>
        </w:tc>
        <w:tc>
          <w:tcPr>
            <w:tcW w:type="dxa" w:w="196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Mitigar: texto corregido</w:t>
            </w:r>
          </w:p>
        </w:tc>
        <w:tc>
          <w:tcPr>
            <w:tcW w:type="dxa" w:w="11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Cerrado</w:t>
            </w:r>
          </w:p>
        </w:tc>
      </w:tr>
      <w:tr>
        <w:trPr>
          <w:cantSplit/>
        </w:trPr>
        <w:tc>
          <w:tcPr>
            <w:tcW w:type="dxa" w:w="97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HAL‑05</w:t>
            </w:r>
          </w:p>
        </w:tc>
        <w:tc>
          <w:tcPr>
            <w:tcW w:type="dxa" w:w="407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Imagen base de Lambda con 24 vulnerabilidades altas corregibles en npm, el emulador local y el SDK que trae el runtime</w:t>
            </w:r>
          </w:p>
        </w:tc>
        <w:tc>
          <w:tcPr>
            <w:tcW w:type="dxa" w:w="118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Alta</w:t>
            </w:r>
          </w:p>
        </w:tc>
        <w:tc>
          <w:tcPr>
            <w:tcW w:type="dxa" w:w="196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Mitigar: digest vigente y se quitan esos componentes</w:t>
            </w:r>
          </w:p>
        </w:tc>
        <w:tc>
          <w:tcPr>
            <w:tcW w:type="dxa" w:w="115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Cerrado</w:t>
            </w:r>
          </w:p>
        </w:tc>
      </w:tr>
    </w:tbl>
    <w:p>
      <w:pPr>
        <w:spacing w:before="0" w:after="160" w:line="360" w:lineRule="auto"/>
        <w:jc w:val="both"/>
      </w:pPr>
      <w:r>
        <w:rPr>
          <w:i/>
          <w:sz w:val="24"/>
        </w:rPr>
        <w:t xml:space="preserve">Nota. </w:t>
      </w:r>
      <w:r>
        <w:rPr>
          <w:sz w:val="24"/>
        </w:rPr>
        <w:t>Las excepciones de HAL-02 y HAL-03 están en mobile/excepciones-sca.json, valen solo para la copia indirecta del paquete, las aprobó el dueño del riesgo y vencen el 28 de noviembre de 2026. HAL-04 se encontró por revisión manual del código. El registro completo está en docs/REGISTRO_RIESGOS.md, sección D.2.</w:t>
      </w:r>
    </w:p>
    <w:p>
      <w:pPr>
        <w:spacing w:before="0" w:after="160" w:line="360" w:lineRule="auto"/>
        <w:ind w:firstLine="720"/>
        <w:jc w:val="both"/>
      </w:pPr>
      <w:r>
        <w:rPr>
          <w:i w:val="0"/>
          <w:sz w:val="24"/>
        </w:rPr>
        <w:t>OWASP Dependency-Check y Snyk, que sugiere el enunciado, quedaron integrados en el flujo pero solo corren si existen sus llaves de acceso (NVD_API_KEY y SNYK_TOKEN), que todavía no creamos. La cobertura actual no depende de ellos: npm audit y Trivy consultan la base de avisos de GitHub y la de Aqua Security, y Dependabot vigila el repositorio todos los días.</w:t>
      </w:r>
    </w:p>
    <w:p>
      <w:pPr>
        <w:pStyle w:val="Heading2"/>
        <w:spacing w:before="0" w:after="160" w:line="360" w:lineRule="auto"/>
      </w:pPr>
      <w:r>
        <w:t>4.3 Hardening de aplicación móvil</w:t>
      </w:r>
    </w:p>
    <w:p>
      <w:pPr>
        <w:spacing w:before="0" w:after="160" w:line="360" w:lineRule="auto"/>
        <w:ind w:firstLine="720"/>
        <w:jc w:val="both"/>
      </w:pPr>
      <w:r>
        <w:rPr>
          <w:i w:val="0"/>
          <w:sz w:val="24"/>
        </w:rPr>
        <w:t>La app Android todavía muestra datos simulados: en este bloque reforzamos su configuración de compilación y dejamos claro qué controles del cliente faltan. La Tabla 34 separa lo que ya está en el código, lo que configuramos ahora y lo pendiente. El cambio principal es subir la versión mínima de Android a la 10 (API 29), que trae TLS 1.3 de fábrica: así la app puede hablar con la API, que solo acepta TLS 1.3 (sección 4.2.2).</w:t>
      </w:r>
    </w:p>
    <w:p>
      <w:pPr>
        <w:keepNext/>
        <w:spacing w:before="0" w:after="160" w:line="360" w:lineRule="auto"/>
      </w:pPr>
      <w:r>
        <w:rPr>
          <w:b/>
          <w:sz w:val="24"/>
        </w:rPr>
        <w:t>Tabla 34</w:t>
      </w:r>
    </w:p>
    <w:p>
      <w:pPr>
        <w:keepNext/>
        <w:spacing w:before="0" w:after="160" w:line="360" w:lineRule="auto"/>
      </w:pPr>
      <w:r>
        <w:rPr>
          <w:i/>
          <w:sz w:val="24"/>
        </w:rPr>
        <w:t>Controles de hardening de la app Android</w:t>
      </w:r>
    </w:p>
    <w:tbl>
      <w:tblPr>
        <w:tblW w:type="auto" w:w="0"/>
        <w:tblLayout w:type="fixed"/>
        <w:tblLook w:firstColumn="1" w:firstRow="1" w:lastColumn="0" w:lastRow="0" w:noHBand="0" w:noVBand="1" w:val="04A0"/>
      </w:tblPr>
      <w:tblGrid>
        <w:gridCol w:w="1893"/>
        <w:gridCol w:w="1505"/>
        <w:gridCol w:w="4163"/>
        <w:gridCol w:w="1797"/>
      </w:tblGrid>
      <w:tr>
        <w:trPr>
          <w:cantSplit/>
          <w:tblHeader/>
        </w:trPr>
        <w:tc>
          <w:tcPr>
            <w:tcW w:type="dxa" w:w="1893"/>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Control</w:t>
            </w:r>
          </w:p>
        </w:tc>
        <w:tc>
          <w:tcPr>
            <w:tcW w:type="dxa" w:w="150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MASVS</w:t>
            </w:r>
          </w:p>
        </w:tc>
        <w:tc>
          <w:tcPr>
            <w:tcW w:type="dxa" w:w="416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Cómo</w:t>
            </w:r>
          </w:p>
        </w:tc>
        <w:tc>
          <w:tcPr>
            <w:tcW w:type="dxa" w:w="179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Estado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Android 10 o superior (minSdk 29)</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NETWORK</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expo‑build‑properties en app.json</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Configurado y compilado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Sin tráfico HTTP en claro</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NETWORK</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usesCleartextTraffic: false</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Configurado y compilado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Ofuscación y reducción con R8 en la versión de release</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RESILIENCE</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enableMinifyInReleaseBuilds y enableShrinkResourcesInReleaseBuilds</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Configurado y compilado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Inspector de red de desarrollo apagado</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CODE</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networkInspector: false</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Configurado y compilado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Sin respaldo de datos de la app</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STORAGE</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android.allowBackup: false</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Bloqueo de capturas de pantalla (CTRL‑22)</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PLATFORM</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FLAG_SECURE en transferir, desbloquear y perfil</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Validación de formularios con zod estricto</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CODE</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login y transferencia; zod 4.6.7 (HAL‑01)</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Textos de seguridad veraces</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PRIVACY</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pantalla de bienvenida (HAL‑04)</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Corregido</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OAuth2 con PKCE y MFA (CTRL‑18)</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AUTH</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expo‑auth‑session contra Cognito</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Pendiente: al conectar la app</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Tokens en el Keystore con biometría (CTRL‑07)</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STORAGE</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expo‑secure‑store con requireAuthentication</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Pendiente: al conectar la app</w:t>
            </w:r>
          </w:p>
        </w:tc>
      </w:tr>
      <w:tr>
        <w:trPr>
          <w:cantSplit/>
        </w:trPr>
        <w:tc>
          <w:tcPr>
            <w:tcW w:type="dxa" w:w="189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Pinning de llaves públicas (CTRL‑08)</w:t>
            </w:r>
          </w:p>
        </w:tc>
        <w:tc>
          <w:tcPr>
            <w:tcW w:type="dxa" w:w="150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NETWORK</w:t>
            </w:r>
          </w:p>
        </w:tc>
        <w:tc>
          <w:tcPr>
            <w:tcW w:type="dxa" w:w="416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react‑native‑ssl‑public‑key‑pinning</w:t>
            </w:r>
          </w:p>
        </w:tc>
        <w:tc>
          <w:tcPr>
            <w:tcW w:type="dxa" w:w="179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Pendiente: al conectar la app</w:t>
            </w:r>
          </w:p>
        </w:tc>
      </w:tr>
      <w:tr>
        <w:trPr>
          <w:cantSplit/>
        </w:trPr>
        <w:tc>
          <w:tcPr>
            <w:tcW w:type="dxa" w:w="1893"/>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Detección de root, hooking y emulador (CTRL‑15)</w:t>
            </w:r>
          </w:p>
        </w:tc>
        <w:tc>
          <w:tcPr>
            <w:tcW w:type="dxa" w:w="150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RESILIENCE</w:t>
            </w:r>
          </w:p>
        </w:tc>
        <w:tc>
          <w:tcPr>
            <w:tcW w:type="dxa" w:w="416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freeRASP (plugin ya registrado)</w:t>
            </w:r>
          </w:p>
        </w:tc>
        <w:tc>
          <w:tcPr>
            <w:tcW w:type="dxa" w:w="179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Pendiente: sección 5.2</w:t>
            </w:r>
          </w:p>
        </w:tc>
      </w:tr>
    </w:tbl>
    <w:p>
      <w:pPr>
        <w:spacing w:before="0" w:after="160" w:line="360" w:lineRule="auto"/>
        <w:jc w:val="both"/>
      </w:pPr>
      <w:r>
        <w:rPr>
          <w:i/>
          <w:sz w:val="24"/>
        </w:rPr>
        <w:t xml:space="preserve">Nota. </w:t>
      </w:r>
      <w:r>
        <w:rPr>
          <w:sz w:val="24"/>
        </w:rPr>
        <w:t>MASVS = OWASP Mobile Application Security Verification Standard 2.1.0. Lo configurado en el bloque 3 se aplica al generar el proyecto nativo; el 30 de octubre compilamos la versión de release con esa configuración y la app abrió en el emulador (EVD-3-17). El análisis del APK con MobSF queda para la Fase 4 (EVD-3-07).</w:t>
      </w:r>
    </w:p>
    <w:p>
      <w:pPr>
        <w:pStyle w:val="Heading2"/>
        <w:spacing w:before="0" w:after="160" w:line="360" w:lineRule="auto"/>
      </w:pPr>
      <w:r>
        <w:t>4.4 Hardening de APIs y microservicios</w:t>
      </w:r>
    </w:p>
    <w:p>
      <w:pPr>
        <w:spacing w:before="0" w:after="160" w:line="360" w:lineRule="auto"/>
        <w:ind w:firstLine="720"/>
        <w:jc w:val="both"/>
      </w:pPr>
      <w:r>
        <w:rPr>
          <w:i w:val="0"/>
          <w:sz w:val="24"/>
        </w:rPr>
        <w:t>Reemplazamos la imagen provisional de la Entrega 2 por el código real de los cinco microservicios, escrito en TypeScript estricto. Todos comparten un módulo común que aplica los mismos controles a cada solicitud, en este orden: verificar el token, validar la entrada, comprobar que el recurso pertenece al usuario, registrar sin datos sensibles y responder sin detalles internos. Cada control tiene pruebas automáticas que corren en el flujo DevSecOps: 60 pruebas en total, todas en verde (evidencia EVD-3-14).</w:t>
      </w:r>
    </w:p>
    <w:p>
      <w:pPr>
        <w:pStyle w:val="Heading3"/>
        <w:spacing w:before="0" w:after="160" w:line="360" w:lineRule="auto"/>
      </w:pPr>
      <w:r>
        <w:t>4.4.1 Prácticas de codificación segura</w:t>
      </w:r>
    </w:p>
    <w:p>
      <w:pPr>
        <w:spacing w:before="0" w:after="160" w:line="360" w:lineRule="auto"/>
        <w:ind w:firstLine="720"/>
        <w:jc w:val="both"/>
      </w:pPr>
      <w:r>
        <w:rPr>
          <w:i w:val="0"/>
          <w:sz w:val="24"/>
        </w:rPr>
        <w:t>El enunciado pide demostrar tres prácticas: consultas preparadas contra inyección SQL, sanitización contra XSS y manejo seguro de tokens JWT. La Tabla 35 muestra cómo se aplican en Q-Wallet, junto con otras prácticas del mismo tipo.</w:t>
      </w:r>
    </w:p>
    <w:p>
      <w:pPr>
        <w:keepNext/>
        <w:spacing w:before="0" w:after="160" w:line="360" w:lineRule="auto"/>
      </w:pPr>
      <w:r>
        <w:rPr>
          <w:b/>
          <w:sz w:val="24"/>
        </w:rPr>
        <w:t>Tabla 35</w:t>
      </w:r>
    </w:p>
    <w:p>
      <w:pPr>
        <w:keepNext/>
        <w:spacing w:before="0" w:after="160" w:line="360" w:lineRule="auto"/>
      </w:pPr>
      <w:r>
        <w:rPr>
          <w:i/>
          <w:sz w:val="24"/>
        </w:rPr>
        <w:t>Prácticas de codificación segura en los microservicios</w:t>
      </w:r>
    </w:p>
    <w:tbl>
      <w:tblPr>
        <w:tblW w:type="auto" w:w="0"/>
        <w:tblLayout w:type="fixed"/>
        <w:tblLook w:firstColumn="1" w:firstRow="1" w:lastColumn="0" w:lastRow="0" w:noHBand="0" w:noVBand="1" w:val="04A0"/>
      </w:tblPr>
      <w:tblGrid>
        <w:gridCol w:w="1695"/>
        <w:gridCol w:w="4564"/>
        <w:gridCol w:w="3099"/>
      </w:tblGrid>
      <w:tr>
        <w:trPr>
          <w:cantSplit/>
          <w:tblHeader/>
        </w:trPr>
        <w:tc>
          <w:tcPr>
            <w:tcW w:type="dxa" w:w="169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Práctica</w:t>
            </w:r>
          </w:p>
        </w:tc>
        <w:tc>
          <w:tcPr>
            <w:tcW w:type="dxa" w:w="456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Cómo la aplicamos</w:t>
            </w:r>
          </w:p>
        </w:tc>
        <w:tc>
          <w:tcPr>
            <w:tcW w:type="dxa" w:w="310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Prueba</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Consultas preparadas (inyección)</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DynamoDB no usa SQL; todas las consultas pasan los valores aparte con ExpressionAttributeValues y la llave siempre lleva el sub del token, nunca un valor armado con texto del cliente</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Día de auditoría con «' OR 1=1» responde 400</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Sanitización contra XSS</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Esquemas zod con lista de caracteres permitidos en nombres y descripciones; respuestas solo en JSON con Content‑Type, X‑Content‑Type‑Options y Content‑Security‑Policy</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Nombre con &lt;script&gt; responde 400</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Manejo seguro del JWT</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Además del authorizer, la Lambda verifica el access token con aws‑jwt‑verify: firma, emisor, vencimiento, token_use, client_id y scope; el sub debe coincidir con el del authorizer</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Firma alterada o sub distinto responde 401</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Mass assignment</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Esquemas .strict(): un campo no previsto (tienePin, userId, saldo) se rechaza</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PATCH /me con saldoCentavos responde 400</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Montos exactos</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Centavos enteros positivos con tope; nunca decimales de punto flotante</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Monto ‑100, 10.5 o «100» responde 400</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Errores sin detalles</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Mensaje fijo por código y correlationId; la pila y el mensaje interno solo van al log</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Error interno no expone la tabla ni la llave</w:t>
            </w:r>
          </w:p>
        </w:tc>
      </w:tr>
      <w:tr>
        <w:trPr>
          <w:cantSplit/>
        </w:trPr>
        <w:tc>
          <w:tcPr>
            <w:tcW w:type="dxa" w:w="169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Logs sin datos sensibles</w:t>
            </w:r>
          </w:p>
        </w:tc>
        <w:tc>
          <w:tcPr>
            <w:tcW w:type="dxa" w:w="456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Redacción automática de PIN, tokens, teléfono, DPI y correo, incluso anidados</w:t>
            </w:r>
          </w:p>
        </w:tc>
        <w:tc>
          <w:tcPr>
            <w:tcW w:type="dxa" w:w="31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El PIN y el JWT no aparecen en el log</w:t>
            </w:r>
          </w:p>
        </w:tc>
      </w:tr>
      <w:tr>
        <w:trPr>
          <w:cantSplit/>
        </w:trPr>
        <w:tc>
          <w:tcPr>
            <w:tcW w:type="dxa" w:w="169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Aleatoriedad segura</w:t>
            </w:r>
          </w:p>
        </w:tc>
        <w:tc>
          <w:tcPr>
            <w:tcW w:type="dxa" w:w="456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randomUUID y randomBytes de Node crypto</w:t>
            </w:r>
          </w:p>
        </w:tc>
        <w:tc>
          <w:tcPr>
            <w:tcW w:type="dxa" w:w="310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Regla qwallet‑aleatorio‑inseguro</w:t>
            </w:r>
          </w:p>
        </w:tc>
      </w:tr>
    </w:tbl>
    <w:p>
      <w:pPr>
        <w:spacing w:before="0" w:after="160" w:line="360" w:lineRule="auto"/>
        <w:jc w:val="both"/>
      </w:pPr>
      <w:r>
        <w:rPr>
          <w:i/>
          <w:sz w:val="24"/>
        </w:rPr>
        <w:t xml:space="preserve">Nota. </w:t>
      </w:r>
      <w:r>
        <w:rPr>
          <w:sz w:val="24"/>
        </w:rPr>
        <w:t>Código en services/comun/src; pruebas en services/*/test (vitest 5.0.3).</w:t>
      </w:r>
    </w:p>
    <w:p>
      <w:pPr>
        <w:pStyle w:val="Heading3"/>
        <w:spacing w:before="0" w:after="160" w:line="360" w:lineRule="auto"/>
      </w:pPr>
      <w:r>
        <w:t>4.4.2 Controles por microservicio</w:t>
      </w:r>
    </w:p>
    <w:p>
      <w:pPr>
        <w:spacing w:before="0" w:after="160" w:line="360" w:lineRule="auto"/>
        <w:ind w:firstLine="720"/>
        <w:jc w:val="both"/>
      </w:pPr>
      <w:r>
        <w:rPr>
          <w:i w:val="0"/>
          <w:sz w:val="24"/>
        </w:rPr>
        <w:t>La Tabla 36 resume los controles de cada microservicio y las pruebas que los comprueban. Las pruebas usan repositorios en memoria con la misma lógica de condiciones que DynamoDB, así se pueden simular ataques (por ejemplo, veinte intentos de PIN al mismo tiempo) sin tocar AWS. Las mismas comprobaciones se repetirán contra la API desplegada en la Fase 4.</w:t>
      </w:r>
    </w:p>
    <w:p>
      <w:pPr>
        <w:keepNext/>
        <w:spacing w:before="0" w:after="160" w:line="360" w:lineRule="auto"/>
      </w:pPr>
      <w:r>
        <w:rPr>
          <w:b/>
          <w:sz w:val="24"/>
        </w:rPr>
        <w:t>Tabla 36</w:t>
      </w:r>
    </w:p>
    <w:p>
      <w:pPr>
        <w:keepNext/>
        <w:spacing w:before="0" w:after="160" w:line="360" w:lineRule="auto"/>
      </w:pPr>
      <w:r>
        <w:rPr>
          <w:i/>
          <w:sz w:val="24"/>
        </w:rPr>
        <w:t>Controles y pruebas de cada microservicio</w:t>
      </w:r>
    </w:p>
    <w:tbl>
      <w:tblPr>
        <w:tblW w:type="auto" w:w="0"/>
        <w:tblLayout w:type="fixed"/>
        <w:tblLook w:firstColumn="1" w:firstRow="1" w:lastColumn="0" w:lastRow="0" w:noHBand="0" w:noVBand="1" w:val="04A0"/>
      </w:tblPr>
      <w:tblGrid>
        <w:gridCol w:w="1612"/>
        <w:gridCol w:w="1581"/>
        <w:gridCol w:w="5156"/>
        <w:gridCol w:w="1010"/>
      </w:tblGrid>
      <w:tr>
        <w:trPr>
          <w:cantSplit/>
          <w:tblHeader/>
        </w:trPr>
        <w:tc>
          <w:tcPr>
            <w:tcW w:type="dxa" w:w="1613"/>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Servicio</w:t>
            </w:r>
          </w:p>
        </w:tc>
        <w:tc>
          <w:tcPr>
            <w:tcW w:type="dxa" w:w="158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Controles</w:t>
            </w:r>
          </w:p>
        </w:tc>
        <w:tc>
          <w:tcPr>
            <w:tcW w:type="dxa" w:w="515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Qué comprueban las pruebas</w:t>
            </w:r>
          </w:p>
        </w:tc>
        <w:tc>
          <w:tcPr>
            <w:tcW w:type="dxa" w:w="101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Pruebas</w:t>
            </w:r>
          </w:p>
        </w:tc>
      </w:tr>
      <w:tr>
        <w:trPr>
          <w:cantSplit/>
        </w:trPr>
        <w:tc>
          <w:tcPr>
            <w:tcW w:type="dxa" w:w="16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Común (todas)</w:t>
            </w:r>
          </w:p>
        </w:tc>
        <w:tc>
          <w:tcPr>
            <w:tcW w:type="dxa" w:w="15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CTRL‑04, 05, 09, 13, 18</w:t>
            </w:r>
          </w:p>
        </w:tc>
        <w:tc>
          <w:tcPr>
            <w:tcW w:type="dxa" w:w="51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Token sin firma válida, mass assignment, cuerpo de más de 8 KB, cursor apuntando a otra cuenta, redacción de logs, cabeceras</w:t>
            </w:r>
          </w:p>
        </w:tc>
        <w:tc>
          <w:tcPr>
            <w:tcW w:type="dxa" w:w="10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17</w:t>
            </w:r>
          </w:p>
        </w:tc>
      </w:tr>
      <w:tr>
        <w:trPr>
          <w:cantSplit/>
        </w:trPr>
        <w:tc>
          <w:tcPr>
            <w:tcW w:type="dxa" w:w="16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svc‑profile</w:t>
            </w:r>
          </w:p>
        </w:tc>
        <w:tc>
          <w:tcPr>
            <w:tcW w:type="dxa" w:w="15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 02, 03, 04</w:t>
            </w:r>
          </w:p>
        </w:tc>
        <w:tc>
          <w:tcPr>
            <w:tcW w:type="dxa" w:w="51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Perfil creado con el sub del token, teléfono enmascarado, teléfono ajeno rechazado, PIN guardado solo como hash scrypt, PIN trivial rechazado</w:t>
            </w:r>
          </w:p>
        </w:tc>
        <w:tc>
          <w:tcPr>
            <w:tcW w:type="dxa" w:w="10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9</w:t>
            </w:r>
          </w:p>
        </w:tc>
      </w:tr>
      <w:tr>
        <w:trPr>
          <w:cantSplit/>
        </w:trPr>
        <w:tc>
          <w:tcPr>
            <w:tcW w:type="dxa" w:w="16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svc‑accounts</w:t>
            </w:r>
          </w:p>
        </w:tc>
        <w:tc>
          <w:tcPr>
            <w:tcW w:type="dxa" w:w="15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 03, 05</w:t>
            </w:r>
          </w:p>
        </w:tc>
        <w:tc>
          <w:tcPr>
            <w:tcW w:type="dxa" w:w="51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Cuenta ajena responde 404 (CA‑01), límite por defecto 20 y máximo 50, cursor manipulado rechazado (CA‑05)</w:t>
            </w:r>
          </w:p>
        </w:tc>
        <w:tc>
          <w:tcPr>
            <w:tcW w:type="dxa" w:w="10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6</w:t>
            </w:r>
          </w:p>
        </w:tc>
      </w:tr>
      <w:tr>
        <w:trPr>
          <w:cantSplit/>
        </w:trPr>
        <w:tc>
          <w:tcPr>
            <w:tcW w:type="dxa" w:w="16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svc‑transfers</w:t>
            </w:r>
          </w:p>
        </w:tc>
        <w:tc>
          <w:tcPr>
            <w:tcW w:type="dxa" w:w="15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 02, 04, 06</w:t>
            </w:r>
          </w:p>
        </w:tc>
        <w:tc>
          <w:tcPr>
            <w:tcW w:type="dxa" w:w="51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Idempotencia, diez solicitudes simultáneas con la misma clave aplican una sola transferencia (CA‑06), saldo insuficiente, bloqueo de 15 min al quinto PIN fallido aun con veinte intentos simultáneos (CA‑02), transferencia ajena 404</w:t>
            </w:r>
          </w:p>
        </w:tc>
        <w:tc>
          <w:tcPr>
            <w:tcW w:type="dxa" w:w="10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17</w:t>
            </w:r>
          </w:p>
        </w:tc>
      </w:tr>
      <w:tr>
        <w:trPr>
          <w:cantSplit/>
        </w:trPr>
        <w:tc>
          <w:tcPr>
            <w:tcW w:type="dxa" w:w="16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svc‑budgets</w:t>
            </w:r>
          </w:p>
        </w:tc>
        <w:tc>
          <w:tcPr>
            <w:tcW w:type="dxa" w:w="15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 04</w:t>
            </w:r>
          </w:p>
        </w:tc>
        <w:tc>
          <w:tcPr>
            <w:tcW w:type="dxa" w:w="515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Presupuestos de otro usuario invisibles e inmodificables, categorías cerradas, alertas al 80 % y al 100 %</w:t>
            </w:r>
          </w:p>
        </w:tc>
        <w:tc>
          <w:tcPr>
            <w:tcW w:type="dxa" w:w="10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w:t>
            </w:r>
          </w:p>
        </w:tc>
      </w:tr>
      <w:tr>
        <w:trPr>
          <w:cantSplit/>
        </w:trPr>
        <w:tc>
          <w:tcPr>
            <w:tcW w:type="dxa" w:w="1613"/>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svc‑admin</w:t>
            </w:r>
          </w:p>
        </w:tc>
        <w:tc>
          <w:tcPr>
            <w:tcW w:type="dxa" w:w="158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CTRL‑14, 23, 03, 05</w:t>
            </w:r>
          </w:p>
        </w:tc>
        <w:tc>
          <w:tcPr>
            <w:tcW w:type="dxa" w:w="515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Cliente recibe 403 en /admin y queda auditado (CA‑09), grupo parecido no sirve, bloqueo exige motivo y canal de verificación, no se bloquea a otro admin</w:t>
            </w:r>
          </w:p>
        </w:tc>
        <w:tc>
          <w:tcPr>
            <w:tcW w:type="dxa" w:w="101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6</w:t>
            </w:r>
          </w:p>
        </w:tc>
      </w:tr>
    </w:tbl>
    <w:p>
      <w:pPr>
        <w:spacing w:before="0" w:after="160" w:line="360" w:lineRule="auto"/>
        <w:jc w:val="both"/>
      </w:pPr>
      <w:r>
        <w:rPr>
          <w:i/>
          <w:sz w:val="24"/>
        </w:rPr>
        <w:t xml:space="preserve">Nota. </w:t>
      </w:r>
      <w:r>
        <w:rPr>
          <w:sz w:val="24"/>
        </w:rPr>
        <w:t>CA = caso de abuso del registro de riesgos. Ejecución del 30 de octubre de 2026: 60 de 60 pruebas pasan (EVD-3-14). Tope por transferencia: Q5,000.00 de dinero simulado.</w:t>
      </w:r>
    </w:p>
    <w:p>
      <w:pPr>
        <w:pStyle w:val="Heading3"/>
        <w:spacing w:before="0" w:after="160" w:line="360" w:lineRule="auto"/>
      </w:pPr>
      <w:r>
        <w:t>4.4.3 Imagen de contenedor de cada microservicio</w:t>
      </w:r>
    </w:p>
    <w:p>
      <w:pPr>
        <w:spacing w:before="0" w:after="160" w:line="360" w:lineRule="auto"/>
        <w:ind w:firstLine="720"/>
        <w:jc w:val="both"/>
      </w:pPr>
      <w:r>
        <w:rPr>
          <w:i w:val="0"/>
          <w:sz w:val="24"/>
        </w:rPr>
        <w:t>Cada microservicio tiene su Dockerfile de dos etapas (CTRL-11). La primera instala las dependencias exactas del package-lock y empaqueta el servicio en un solo archivo; la segunda parte de la imagen oficial de Lambda para Node.js 24 fijada por su digest, copia solo ese archivo como de solo lectura y corre con un usuario sin privilegios (1000). Trivy encontró en la imagen base 24 vulnerabilidades altas con corrección (HAL-05), todas en componentes que Lambda no usa para correr nuestro código: npm, corepack, el emulador local de Lambda y la copia del SDK de AWS que trae el runtime (nuestro código lleva su propio SDK empaquetado). Actualizamos el digest y quitamos esos componentes de la imagen final; Trivy bajó a cero vulnerabilidades altas. Como quitar archivos de la imagen base puede romper el arranque, agregamos una prueba de humo: el flujo arranca el runtime real de cada imagen frente a un simulador local de la Runtime API de Lambda, le envía GET /me sin token y exige la respuesta 401 con las cabeceras de seguridad (EVD-3-15).</w:t>
      </w:r>
    </w:p>
    <w:p>
      <w:pPr>
        <w:pStyle w:val="Heading2"/>
        <w:spacing w:before="0" w:after="160" w:line="360" w:lineRule="auto"/>
      </w:pPr>
      <w:r>
        <w:t>4.6 Implementación de controles DevSecOps</w:t>
      </w:r>
    </w:p>
    <w:p>
      <w:pPr>
        <w:spacing w:before="0" w:after="160" w:line="360" w:lineRule="auto"/>
        <w:ind w:firstLine="720"/>
        <w:jc w:val="both"/>
      </w:pPr>
      <w:r>
        <w:rPr>
          <w:i w:val="0"/>
          <w:sz w:val="24"/>
        </w:rPr>
        <w:t>La Figura 8 muestra el flujo completo desde que se abre un pull request hasta que el cambio queda desplegado y verificado en AWS. La rama main está protegida: nada llega a producción sin pasar por un pull request, sus compuertas automáticas y la aprobación por merge. Son dos flujos de GitHub Actions: devsecops.yml revisa el código (Fase 3) e infra.yml revisa la infraestructura y los contenedores, despliega y verifica (Fase 5).</w:t>
      </w:r>
    </w:p>
    <w:p>
      <w:pPr>
        <w:spacing w:before="0" w:after="160" w:line="360" w:lineRule="auto"/>
        <w:sectPr>
          <w:headerReference w:type="default" r:id="rId7"/>
          <w:pgSz w:w="12240" w:h="15840"/>
          <w:pgMar w:top="1440" w:right="1440" w:bottom="1440" w:left="1440" w:header="708" w:footer="708" w:gutter="0"/>
          <w:docGrid w:linePitch="360"/>
        </w:sectPr>
      </w:pPr>
    </w:p>
    <w:p>
      <w:pPr>
        <w:keepNext/>
        <w:spacing w:before="0" w:after="160" w:line="360" w:lineRule="auto"/>
      </w:pPr>
      <w:r>
        <w:rPr>
          <w:b/>
          <w:sz w:val="24"/>
        </w:rPr>
        <w:t>Figura 8</w:t>
      </w:r>
    </w:p>
    <w:p>
      <w:pPr>
        <w:keepNext/>
        <w:spacing w:before="0" w:after="160" w:line="360" w:lineRule="auto"/>
      </w:pPr>
      <w:r>
        <w:rPr>
          <w:i/>
          <w:sz w:val="24"/>
        </w:rPr>
        <w:t>Flujo DevSecOps de Q-Wallet: compuertas del pull request, despliegue y verificación</w:t>
      </w:r>
    </w:p>
    <w:p>
      <w:pPr>
        <w:keepNext/>
        <w:spacing w:before="0" w:after="160" w:line="360" w:lineRule="auto"/>
        <w:jc w:val="center"/>
      </w:pPr>
      <w:r>
        <w:drawing>
          <wp:inline xmlns:a="http://schemas.openxmlformats.org/drawingml/2006/main" xmlns:pic="http://schemas.openxmlformats.org/drawingml/2006/picture">
            <wp:extent cx="8229600" cy="3980644"/>
            <wp:docPr id="1" name="Picture 1"/>
            <wp:cNvGraphicFramePr>
              <a:graphicFrameLocks noChangeAspect="1"/>
            </wp:cNvGraphicFramePr>
            <a:graphic>
              <a:graphicData uri="http://schemas.openxmlformats.org/drawingml/2006/picture">
                <pic:pic>
                  <pic:nvPicPr>
                    <pic:cNvPr id="0" name="EVD-3-16_flujo_devsecops.png"/>
                    <pic:cNvPicPr/>
                  </pic:nvPicPr>
                  <pic:blipFill>
                    <a:blip r:embed="rId15"/>
                    <a:stretch>
                      <a:fillRect/>
                    </a:stretch>
                  </pic:blipFill>
                  <pic:spPr>
                    <a:xfrm>
                      <a:off x="0" y="0"/>
                      <a:ext cx="8229600" cy="3980644"/>
                    </a:xfrm>
                    <a:prstGeom prst="rect"/>
                  </pic:spPr>
                </pic:pic>
              </a:graphicData>
            </a:graphic>
          </wp:inline>
        </w:drawing>
      </w:r>
    </w:p>
    <w:p>
      <w:pPr>
        <w:spacing w:before="0" w:after="160" w:line="360" w:lineRule="auto"/>
        <w:jc w:val="both"/>
      </w:pPr>
      <w:r>
        <w:rPr>
          <w:i/>
          <w:sz w:val="24"/>
        </w:rPr>
        <w:t xml:space="preserve">Nota. </w:t>
      </w:r>
      <w:r>
        <w:rPr>
          <w:sz w:val="24"/>
        </w:rPr>
        <w:t>Elaboración propia (EVD-3-16). Las cajas rojas y verdes marcan dónde se detiene el flujo y dónde termina. Herramientas descargadas por versión exacta y verificadas por suma SHA-256; acciones de GitHub fijadas por el hash del commit.</w:t>
      </w:r>
    </w:p>
    <w:p>
      <w:pPr>
        <w:spacing w:before="0" w:after="160" w:line="360" w:lineRule="auto"/>
        <w:sectPr>
          <w:pgSz w:w="15840" w:h="12240" w:orient="landscape"/>
          <w:pgMar w:top="1440" w:right="1440" w:bottom="1440" w:left="1440" w:header="708" w:footer="708" w:gutter="0"/>
          <w:docGrid w:linePitch="360"/>
        </w:sectPr>
      </w:pPr>
    </w:p>
    <w:p>
      <w:pPr>
        <w:spacing w:before="0" w:after="160" w:line="360" w:lineRule="auto"/>
        <w:ind w:firstLine="720"/>
        <w:jc w:val="both"/>
      </w:pPr>
      <w:r>
        <w:rPr>
          <w:i w:val="0"/>
          <w:sz w:val="24"/>
        </w:rPr>
        <w:t>La Tabla 37 detalla cada etapa. Tres decisiones hacen que el flujo sea un control y no solo un reporte. Primera, cada etapa tiene una compuerta que detiene el pull request. Segunda, las excepciones son explícitas, con motivo y fecha de vencimiento, y no pueden tapar una dependencia directa. Tercera, el mismo flujo corre cada lunes sobre main, así una vulnerabilidad publicada después del despliegue aparece sin esperar un cambio de código (gestión continua, sección 5.5).</w:t>
      </w:r>
    </w:p>
    <w:p>
      <w:pPr>
        <w:keepNext/>
        <w:spacing w:before="0" w:after="160" w:line="360" w:lineRule="auto"/>
      </w:pPr>
      <w:r>
        <w:rPr>
          <w:b/>
          <w:sz w:val="24"/>
        </w:rPr>
        <w:t>Tabla 37</w:t>
      </w:r>
    </w:p>
    <w:p>
      <w:pPr>
        <w:keepNext/>
        <w:spacing w:before="0" w:after="160" w:line="360" w:lineRule="auto"/>
      </w:pPr>
      <w:r>
        <w:rPr>
          <w:i/>
          <w:sz w:val="24"/>
        </w:rPr>
        <w:t>Etapas del flujo DevSecOps y sus compuertas</w:t>
      </w:r>
    </w:p>
    <w:tbl>
      <w:tblPr>
        <w:tblW w:type="auto" w:w="0"/>
        <w:tblLayout w:type="fixed"/>
        <w:tblLook w:firstColumn="1" w:firstRow="1" w:lastColumn="0" w:lastRow="0" w:noHBand="0" w:noVBand="1" w:val="04A0"/>
      </w:tblPr>
      <w:tblGrid>
        <w:gridCol w:w="1737"/>
        <w:gridCol w:w="3481"/>
        <w:gridCol w:w="2601"/>
        <w:gridCol w:w="1539"/>
      </w:tblGrid>
      <w:tr>
        <w:trPr>
          <w:cantSplit/>
          <w:tblHeader/>
        </w:trPr>
        <w:tc>
          <w:tcPr>
            <w:tcW w:type="dxa" w:w="173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Etapa</w:t>
            </w:r>
          </w:p>
        </w:tc>
        <w:tc>
          <w:tcPr>
            <w:tcW w:type="dxa" w:w="348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Herramienta y versión</w:t>
            </w:r>
          </w:p>
        </w:tc>
        <w:tc>
          <w:tcPr>
            <w:tcW w:type="dxa" w:w="2602"/>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Compuerta</w:t>
            </w:r>
          </w:p>
        </w:tc>
        <w:tc>
          <w:tcPr>
            <w:tcW w:type="dxa" w:w="154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Evidencia</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Pruebas por control</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vitest 5.0.3, TypeScript 6.0.3</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Una prueba roja o un error de tipos</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EVD‑3‑14</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SAST</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Semgrep 1.179.0</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Hallazgo grave o regla propia que no pasa su prueba</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EVD‑3‑02</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SAST</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CodeQL (security‑extended)</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Hallazgo grave</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EVD‑3‑03</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SCA</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npm audit + scripts/sca_compuerta.py</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Aviso alto o crítico sin excepción vigente</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EVD‑3‑04, EVD‑3‑10</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SCA e inventario</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Trivy 0.75.0 (SBOM CycloneDX)</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Informativa</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EVD‑3‑04</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Secretos</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gitleaks 8.30.1 (todo el historial: 89 commits, sin hallazgos)</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Cualquier secreto</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EVD‑3‑09</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IaC</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Checkov 3.3.22 (Terraform: 282 pasan; Dockerfile: 295 pasan; 0 fallan)</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Control fallido sin excepción en el código</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EVD‑3‑06</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Contenedores</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Docker multi‑etapa + prueba de humo</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Imagen que no arranca o no responde 401</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EVD‑3‑15</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Contenedores</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Trivy 0.75.0</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Vulnerabilidad alta o crítica con corrección</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EVD‑3‑05</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Despliegue</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Terraform 1.16.5 con OIDC</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Plan que borra o reemplaza algo no aprobado</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EVD‑3‑11</w:t>
            </w:r>
          </w:p>
        </w:tc>
      </w:tr>
      <w:tr>
        <w:trPr>
          <w:cantSplit/>
        </w:trPr>
        <w:tc>
          <w:tcPr>
            <w:tcW w:type="dxa" w:w="173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Verificación</w:t>
            </w:r>
          </w:p>
        </w:tc>
        <w:tc>
          <w:tcPr>
            <w:tcW w:type="dxa" w:w="348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verificar_aws.sh</w:t>
            </w:r>
          </w:p>
        </w:tc>
        <w:tc>
          <w:tcPr>
            <w:tcW w:type="dxa" w:w="260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TLS, menor privilegio o cifrado distintos de lo diseñado</w:t>
            </w:r>
          </w:p>
        </w:tc>
        <w:tc>
          <w:tcPr>
            <w:tcW w:type="dxa" w:w="154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EVD‑3‑12, EVD‑3‑13, EVD‑5‑04</w:t>
            </w:r>
          </w:p>
        </w:tc>
      </w:tr>
      <w:tr>
        <w:trPr>
          <w:cantSplit/>
        </w:trPr>
        <w:tc>
          <w:tcPr>
            <w:tcW w:type="dxa" w:w="173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SCA opcional</w:t>
            </w:r>
          </w:p>
        </w:tc>
        <w:tc>
          <w:tcPr>
            <w:tcW w:type="dxa" w:w="348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Dependency‑Check 12.1.0, Snyk 1.1307.4</w:t>
            </w:r>
          </w:p>
        </w:tc>
        <w:tc>
          <w:tcPr>
            <w:tcW w:type="dxa" w:w="2602"/>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CVSS 7 o más / severidad alta</w:t>
            </w:r>
          </w:p>
        </w:tc>
        <w:tc>
          <w:tcPr>
            <w:tcW w:type="dxa" w:w="154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Requieren llaves</w:t>
            </w:r>
          </w:p>
        </w:tc>
      </w:tr>
    </w:tbl>
    <w:p>
      <w:pPr>
        <w:spacing w:before="0" w:after="160" w:line="360" w:lineRule="auto"/>
        <w:jc w:val="both"/>
      </w:pPr>
      <w:r>
        <w:rPr>
          <w:i/>
          <w:sz w:val="24"/>
        </w:rPr>
        <w:t xml:space="preserve">Nota. </w:t>
      </w:r>
      <w:r>
        <w:rPr>
          <w:sz w:val="24"/>
        </w:rPr>
        <w:t>Las evidencias se publican como comentario del pull request y, para main y la revisión semanal, en los issues «Evidencias DevSecOps» y «Evidencias AWS» del repositorio.</w:t>
      </w:r>
    </w:p>
    <w:p>
      <w:pPr>
        <w:pStyle w:val="Heading2"/>
        <w:spacing w:before="0" w:after="160" w:line="360" w:lineRule="auto"/>
      </w:pPr>
      <w:r>
        <w:t>Referencias de esta sección [se integran a la lista general al ensamblar]</w:t>
      </w:r>
    </w:p>
    <w:p>
      <w:pPr>
        <w:spacing w:before="0" w:after="160" w:line="360" w:lineRule="auto"/>
        <w:ind w:left="720" w:hanging="720"/>
      </w:pPr>
      <w:r>
        <w:rPr>
          <w:sz w:val="24"/>
        </w:rPr>
        <w:t>Amazon Web Services. (s. f.-h). Using the Lambda runtime API for custom runtimes. AWS Lambda Developer Guide. Recuperado el 30 de octubre de 2026, de https://docs.aws.amazon.com/lambda/latest/dg/runtimes-api.html</w:t>
      </w:r>
    </w:p>
    <w:p>
      <w:pPr>
        <w:spacing w:before="0" w:after="160" w:line="360" w:lineRule="auto"/>
        <w:ind w:left="720" w:hanging="720"/>
      </w:pPr>
      <w:r>
        <w:rPr>
          <w:sz w:val="24"/>
        </w:rPr>
        <w:t>Aqua Security. (s. f.). Trivy documentation. Recuperado el 30 de octubre de 2026, de https://trivy.dev/</w:t>
      </w:r>
    </w:p>
    <w:p>
      <w:pPr>
        <w:spacing w:before="0" w:after="160" w:line="360" w:lineRule="auto"/>
        <w:ind w:left="720" w:hanging="720"/>
      </w:pPr>
      <w:r>
        <w:rPr>
          <w:sz w:val="24"/>
        </w:rPr>
        <w:t>GitHub. (s. f.). About code scanning with CodeQL. GitHub Docs. Recuperado el 30 de octubre de 2026, de https://docs.github.com/en/code-security/code-scanning/introduction-to-code-scanning/about-code-scanning-with-codeql</w:t>
      </w:r>
    </w:p>
    <w:p>
      <w:pPr>
        <w:spacing w:before="0" w:after="160" w:line="360" w:lineRule="auto"/>
        <w:ind w:left="720" w:hanging="720"/>
      </w:pPr>
      <w:r>
        <w:rPr>
          <w:sz w:val="24"/>
        </w:rPr>
        <w:t>GitHub. (2026). GHSA-mrhx-c7xc-m3w5: Zod can exhaust memory while validating oversized constrained collections. GitHub Advisory Database. https://github.com/advisories/GHSA-mrhx-c7xc-m3w5</w:t>
      </w:r>
    </w:p>
    <w:p>
      <w:pPr>
        <w:spacing w:before="0" w:after="160" w:line="360" w:lineRule="auto"/>
        <w:ind w:left="720" w:hanging="720"/>
      </w:pPr>
      <w:r>
        <w:rPr>
          <w:sz w:val="24"/>
        </w:rPr>
        <w:t>OWASP Mobile Application Security Project. (2024). OWASP Mobile Application Security Verification Standard (MASVS) (versión 2.1.0). OWASP Foundation. https://mas.owasp.org/MASVS/</w:t>
      </w:r>
    </w:p>
    <w:p>
      <w:pPr>
        <w:spacing w:before="0" w:after="160" w:line="360" w:lineRule="auto"/>
        <w:ind w:left="720" w:hanging="720"/>
      </w:pPr>
      <w:r>
        <w:rPr>
          <w:sz w:val="24"/>
        </w:rPr>
        <w:t>Semgrep. (s. f.). Testing rules. Semgrep Docs. Recuperado el 30 de octubre de 2026, de https://semgrep.dev/docs/writing-rules/testing-rules</w:t>
      </w:r>
    </w:p>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nsid w:val="014CA801"/>
    <w:multiLevelType w:val="singleLevel"/>
    <w:tmpl w:val="29761A62"/>
    <w:lvl w:ilvl="0">
      <w:start w:val="1"/>
      <w:numFmt w:val="bullet"/>
      <w:pStyle w:val="ListBullet"/>
      <w:lvlText w:val=""/>
      <w:lvlJc w:val="left"/>
      <w:pPr>
        <w:tabs>
          <w:tab w:val="num" w:pos="360"/>
        </w:tabs>
        <w:ind w:left="360" w:hanging="360"/>
      </w:pPr>
      <w:rPr>
        <w:rFonts w:ascii="Symbol" w:hAnsi="Symbol" w:hint="default" w:eastAsia="Arial" w:cs="Symbol"/>
      </w:r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before="0"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160" w:line="360" w:lineRule="auto" w:before="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160" w:line="360" w:lineRule="auto" w:before="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60" w:leader="dot"/>
      </w:tabs>
    </w:pPr>
    <w:rPr>
      <w:rFonts w:ascii="Arial" w:cs="Arial" w:eastAsia="Arial" w:hAnsi="Arial"/>
      <w:sz w:val="24"/>
      <w:szCs w:val="24"/>
    </w:rPr>
  </w:style>
  <w:style w:type="paragraph" w:styleId="TOC2">
    <w:name w:val="toc 2"/>
    <w:basedOn w:val="Normal"/>
    <w:next w:val="Normal"/>
    <w:pPr>
      <w:tabs>
        <w:tab w:val="right" w:pos="9360" w:leader="dot"/>
      </w:tabs>
      <w:ind w:left="360"/>
    </w:pPr>
    <w:rPr>
      <w:rFonts w:ascii="Arial" w:cs="Arial" w:eastAsia="Arial" w:hAnsi="Arial"/>
      <w:sz w:val="24"/>
      <w:szCs w:val="24"/>
    </w:rPr>
  </w:style>
  <w:style w:type="paragraph" w:styleId="TOC3">
    <w:name w:val="toc 3"/>
    <w:basedOn w:val="Normal"/>
    <w:next w:val="Normal"/>
    <w:pPr>
      <w:tabs>
        <w:tab w:val="right" w:pos="9360" w:leader="dot"/>
      </w:tabs>
      <w:ind w:left="720"/>
    </w:pPr>
    <w:rPr>
      <w:rFonts w:ascii="Arial" w:cs="Arial" w:eastAsia="Arial" w:hAnsi="Arial"/>
      <w:sz w:val="24"/>
      <w:szCs w:val="24"/>
    </w:rPr>
  </w:style>
  <w:style w:type="paragraph" w:styleId="ListBullet">
    <w:name w:val="List Bullet"/>
    <w:basedOn w:val="Normal"/>
    <w:uiPriority w:val="99"/>
    <w:unhideWhenUsed/>
    <w:rsid w:val="00326F90"/>
    <w:pPr>
      <w:numPr>
        <w:numId w:val="2"/>
      </w:numPr>
      <w:contextualSpacing/>
    </w:pPr>
  </w:style>
  <w:style w:type="paragraph" w:styleId="Heading1">
    <w:name w:val="heading 1"/>
    <w:basedOn w:val="Normal"/>
    <w:next w:val="Normal"/>
    <w:uiPriority w:val="9"/>
    <w:qFormat/>
    <w:pPr>
      <w:keepNext/>
      <w:keepLines/>
      <w:spacing w:before="0" w:after="160" w:line="360" w:lineRule="auto"/>
      <w:jc w:val="center"/>
      <w:outlineLvl w:val="0"/>
    </w:pPr>
    <w:rPr>
      <w:rFonts w:ascii="Arial" w:hAnsi="Arial" w:cs="Arial" w:eastAsia="Arial"/>
      <w:b/>
      <w:bCs/>
      <w:i w:val="0"/>
      <w:iCs w:val="0"/>
      <w:color w:val="000000"/>
      <w:sz w:val="24"/>
      <w:szCs w:val="24"/>
    </w:rPr>
  </w:style>
  <w:style w:type="paragraph" w:styleId="Heading2">
    <w:name w:val="heading 2"/>
    <w:basedOn w:val="Normal"/>
    <w:next w:val="Normal"/>
    <w:uiPriority w:val="9"/>
    <w:qFormat/>
    <w:pPr>
      <w:keepNext/>
      <w:keepLines/>
      <w:spacing w:before="0" w:after="160" w:line="360" w:lineRule="auto"/>
      <w:jc w:val="left"/>
      <w:outlineLvl w:val="1"/>
    </w:pPr>
    <w:rPr>
      <w:rFonts w:ascii="Arial" w:hAnsi="Arial" w:cs="Arial" w:eastAsia="Arial"/>
      <w:b/>
      <w:bCs/>
      <w:i w:val="0"/>
      <w:iCs w:val="0"/>
      <w:color w:val="000000"/>
      <w:sz w:val="24"/>
      <w:szCs w:val="24"/>
    </w:rPr>
  </w:style>
  <w:style w:type="paragraph" w:styleId="Heading3">
    <w:name w:val="heading 3"/>
    <w:basedOn w:val="Normal"/>
    <w:next w:val="Normal"/>
    <w:uiPriority w:val="9"/>
    <w:qFormat/>
    <w:pPr>
      <w:keepNext/>
      <w:keepLines/>
      <w:spacing w:before="0" w:after="160" w:line="360" w:lineRule="auto"/>
      <w:jc w:val="left"/>
      <w:outlineLvl w:val="2"/>
    </w:pPr>
    <w:rPr>
      <w:rFonts w:ascii="Arial" w:hAnsi="Arial" w:cs="Arial" w:eastAsia="Arial"/>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Q-Wallet</dc:creator>
  <cp:lastModifiedBy>Un-named</cp:lastModifiedBy>
  <cp:revision>1</cp:revision>
  <dcterms:created xsi:type="dcterms:W3CDTF">2026-10-14T03:11:59.349Z</dcterms:created>
  <dcterms:modified xsi:type="dcterms:W3CDTF">2026-10-14T03:11:59.355Z</dcterms:modified>
  <dc:title>Q-Wallet: Entrega 1 — Selección y Planificación; Activos y Riesgos</dc:title>
</cp:coreProperties>
</file>

<file path=docProps/custom.xml><?xml version="1.0" encoding="utf-8"?>
<Properties xmlns="http://schemas.openxmlformats.org/officeDocument/2006/custom-properties" xmlns:vt="http://schemas.openxmlformats.org/officeDocument/2006/docPropsVTypes"/>
</file>