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360" w:lineRule="auto"/>
        <w:ind w:firstLine="720"/>
        <w:jc w:val="both"/>
      </w:pPr>
      <w:r>
        <w:rPr>
          <w:i w:val="0"/>
          <w:sz w:val="24"/>
        </w:rPr>
        <w:t>Las secciones 3.1, 3.2, 3.3 y 3.6 completan la Evaluación de seguridad (Fase 4 del enunciado) con las pruebas ofensivas y defensivas sobre la aplicación ya construida. Como Q-Wallet se construyó con todos los controles desde el diseño, el pentest no busca una versión vulnerable: busca demostrar que cada control funciona. La evidencia de cada prueba es el bloqueo (401, 403, 404, 413, 422, 423 o el rechazo de TLS), y cualquier debilidad real que aparezca se registra como hallazgo (HAL) y se corrige. Las secciones 3.4 y 3.5 (SAST y SCA) se entregaron con el bloque anterior.</w:t>
      </w:r>
    </w:p>
    <w:p>
      <w:pPr>
        <w:pStyle w:val="Heading2"/>
        <w:spacing w:before="0" w:after="160" w:line="360" w:lineRule="auto"/>
      </w:pPr>
      <w:r>
        <w:t>3.1 Pentesting caja negra</w:t>
      </w:r>
    </w:p>
    <w:p>
      <w:pPr>
        <w:spacing w:before="0" w:after="160" w:line="360" w:lineRule="auto"/>
        <w:ind w:firstLine="720"/>
        <w:jc w:val="both"/>
      </w:pPr>
      <w:r>
        <w:rPr>
          <w:i w:val="0"/>
          <w:sz w:val="24"/>
        </w:rPr>
        <w:t>En la prueba de caja negra atacamos la aplicación desde internet, sin credenciales ni acceso al código, como lo haría un atacante externo. El objetivo es mapear la superficie expuesta y comprobar que no hay forma de entrar sin autenticarse. Las pruebas corren de forma automática en el flujo pentest.yml de GitHub Actions, con un rol de AWS de solo lectura asumido por OIDC, y publican su evidencia en el issue «Evidencias Pentest» del repositorio.</w:t>
      </w:r>
    </w:p>
    <w:p>
      <w:pPr>
        <w:spacing w:before="0" w:after="160" w:line="360" w:lineRule="auto"/>
        <w:ind w:firstLine="720"/>
        <w:jc w:val="both"/>
      </w:pPr>
      <w:r>
        <w:rPr>
          <w:i w:val="0"/>
          <w:sz w:val="24"/>
        </w:rPr>
        <w:t>Reglas de enfrentamiento. Respetamos la política de pruebas de penetración de AWS: solo se prueban servicios autorizados (API Gateway, Lambda y WAF), el login administrado de Cognito queda fuera de alcance, y está prohibida cualquier inundación de solicitudes (incluso simulada). Por eso el escaneo es acotado: Nmap con tiempo lento sobre unos pocos puertos, ZAP en modo baseline (pasivo, sin escaneo activo ni fuzzing) y ráfagas cortas contra umbrales bajos cuando hay que mostrar un bloqueo. El WAF permanece apagado en esta fase (se enciende y se prueba en la Fase 5, por costo).</w:t>
      </w:r>
    </w:p>
    <w:p>
      <w:pPr>
        <w:keepNext/>
        <w:spacing w:before="0" w:after="160" w:line="360" w:lineRule="auto"/>
      </w:pPr>
      <w:r>
        <w:rPr>
          <w:b/>
          <w:sz w:val="24"/>
        </w:rPr>
        <w:t>Tabla 38</w:t>
      </w:r>
    </w:p>
    <w:p>
      <w:pPr>
        <w:keepNext/>
        <w:spacing w:before="0" w:after="160" w:line="360" w:lineRule="auto"/>
      </w:pPr>
      <w:r>
        <w:rPr>
          <w:i/>
          <w:sz w:val="24"/>
        </w:rPr>
        <w:t>Herramientas y alcance de la prueba de caja negra</w:t>
      </w:r>
    </w:p>
    <w:tbl>
      <w:tblPr>
        <w:tblW w:type="auto" w:w="0"/>
        <w:tblLayout w:type="fixed"/>
        <w:tblLook w:firstColumn="1" w:firstRow="1" w:lastColumn="0" w:lastRow="0" w:noHBand="0" w:noVBand="1" w:val="04A0"/>
      </w:tblPr>
      <w:tblGrid>
        <w:gridCol w:w="2628"/>
        <w:gridCol w:w="3395"/>
        <w:gridCol w:w="3335"/>
      </w:tblGrid>
      <w:tr>
        <w:trPr>
          <w:cantSplit/>
          <w:tblHeader/>
        </w:trPr>
        <w:tc>
          <w:tcPr>
            <w:tcW w:type="dxa" w:w="262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Herramienta</w:t>
            </w:r>
          </w:p>
        </w:tc>
        <w:tc>
          <w:tcPr>
            <w:tcW w:type="dxa" w:w="339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Qué prueba</w:t>
            </w:r>
          </w:p>
        </w:tc>
        <w:tc>
          <w:tcPr>
            <w:tcW w:type="dxa" w:w="333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Resultado</w:t>
            </w:r>
          </w:p>
        </w:tc>
      </w:tr>
      <w:tr>
        <w:trPr>
          <w:cantSplit/>
        </w:trPr>
        <w:tc>
          <w:tcPr>
            <w:tcW w:type="dxa" w:w="26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Nmap 7.9x (sin inundación, ‑T2)</w:t>
            </w:r>
          </w:p>
        </w:tc>
        <w:tc>
          <w:tcPr>
            <w:tcW w:type="dxa" w:w="33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Puertos abiertos y cifrados TLS del endpoint</w:t>
            </w:r>
          </w:p>
        </w:tc>
        <w:tc>
          <w:tcPr>
            <w:tcW w:type="dxa" w:w="333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Solo 443 abierto; TLS 1.3 únicamente</w:t>
            </w:r>
          </w:p>
        </w:tc>
      </w:tr>
      <w:tr>
        <w:trPr>
          <w:cantSplit/>
        </w:trPr>
        <w:tc>
          <w:tcPr>
            <w:tcW w:type="dxa" w:w="26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OpenSSL s_client</w:t>
            </w:r>
          </w:p>
        </w:tc>
        <w:tc>
          <w:tcPr>
            <w:tcW w:type="dxa" w:w="33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Negociación de versiones de TLS</w:t>
            </w:r>
          </w:p>
        </w:tc>
        <w:tc>
          <w:tcPr>
            <w:tcW w:type="dxa" w:w="333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TLS 1.3 aceptado; TLS 1.2 rechazado</w:t>
            </w:r>
          </w:p>
        </w:tc>
      </w:tr>
      <w:tr>
        <w:trPr>
          <w:cantSplit/>
        </w:trPr>
        <w:tc>
          <w:tcPr>
            <w:tcW w:type="dxa" w:w="26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curl sin token</w:t>
            </w:r>
          </w:p>
        </w:tc>
        <w:tc>
          <w:tcPr>
            <w:tcW w:type="dxa" w:w="33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Respuesta de las rutas protegidas sin credenciales</w:t>
            </w:r>
          </w:p>
        </w:tc>
        <w:tc>
          <w:tcPr>
            <w:tcW w:type="dxa" w:w="333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401/403 en todas las rutas</w:t>
            </w:r>
          </w:p>
        </w:tc>
      </w:tr>
      <w:tr>
        <w:trPr>
          <w:cantSplit/>
        </w:trPr>
        <w:tc>
          <w:tcPr>
            <w:tcW w:type="dxa" w:w="262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OWASP ZAP (baseline pasivo)</w:t>
            </w:r>
          </w:p>
        </w:tc>
        <w:tc>
          <w:tcPr>
            <w:tcW w:type="dxa" w:w="339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Araña y reglas pasivas sobre la API</w:t>
            </w:r>
          </w:p>
        </w:tc>
        <w:tc>
          <w:tcPr>
            <w:tcW w:type="dxa" w:w="333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Sin rutas abiertas; alertas de configuración revisadas</w:t>
            </w:r>
          </w:p>
        </w:tc>
      </w:tr>
    </w:tbl>
    <w:p>
      <w:pPr>
        <w:spacing w:before="0" w:after="160" w:line="360" w:lineRule="auto"/>
        <w:jc w:val="both"/>
      </w:pPr>
      <w:r>
        <w:rPr>
          <w:i/>
          <w:sz w:val="24"/>
        </w:rPr>
        <w:t xml:space="preserve">Nota. </w:t>
      </w:r>
      <w:r>
        <w:rPr>
          <w:sz w:val="24"/>
        </w:rPr>
        <w:t>Ejecución automática en pentest.yml (rol de solo lectura, OIDC). La prueba de TLS y la respuesta 401 sin token ya están verificadas en el despliegue (EVD-3-12, issue «Evidencias AWS»). La salida completa de Nmap y ZAP se publica en el issue «Evidencias Pentest» (EVD-4-01 y EVD-4-02) y se adjunta al ensamblar el informe final.</w:t>
      </w:r>
    </w:p>
    <w:p>
      <w:pPr>
        <w:spacing w:before="0" w:after="160" w:line="360" w:lineRule="auto"/>
        <w:ind w:firstLine="720"/>
        <w:jc w:val="both"/>
      </w:pPr>
      <w:r>
        <w:rPr>
          <w:i w:val="0"/>
          <w:sz w:val="24"/>
        </w:rPr>
        <w:t>Resultado. La única superficie expuesta a internet es un endpoint HTTPS en el puerto 443 (API Gateway, solo TLS 1.3), protegido por el authorizer de Cognito en las 18 rutas. Sin un token válido, toda ruta responde 401. No hay puertos de administración abiertos (SSH, RDP), ni bases de datos públicas, ni servidores EC2 encendidos, ni NAT Gateway, ni dominio propio; las Lambdas y DynamoDB no son alcanzables desde internet. La Figura 9 resume el perímetro del software (punto 4 de la Fase 4: delimitación del perímetro).</w:t>
      </w:r>
    </w:p>
    <w:p>
      <w:pPr>
        <w:keepNext/>
        <w:spacing w:before="0" w:after="160" w:line="360" w:lineRule="auto"/>
      </w:pPr>
      <w:r>
        <w:rPr>
          <w:b/>
          <w:sz w:val="24"/>
        </w:rPr>
        <w:t>Figura 9</w:t>
      </w:r>
    </w:p>
    <w:p>
      <w:pPr>
        <w:keepNext/>
        <w:spacing w:before="0" w:after="160" w:line="360" w:lineRule="auto"/>
      </w:pPr>
      <w:r>
        <w:rPr>
          <w:i/>
          <w:sz w:val="24"/>
        </w:rPr>
        <w:t>Perímetro del software: superficie de ataque expuesta a internet</w:t>
      </w:r>
    </w:p>
    <w:p>
      <w:pPr>
        <w:keepNext/>
        <w:spacing w:before="0" w:after="160" w:line="360" w:lineRule="auto"/>
        <w:jc w:val="center"/>
      </w:pPr>
      <w:r>
        <w:drawing>
          <wp:inline xmlns:a="http://schemas.openxmlformats.org/drawingml/2006/main" xmlns:pic="http://schemas.openxmlformats.org/drawingml/2006/picture">
            <wp:extent cx="5943600" cy="4157011"/>
            <wp:docPr id="1" name="Picture 1"/>
            <wp:cNvGraphicFramePr>
              <a:graphicFrameLocks noChangeAspect="1"/>
            </wp:cNvGraphicFramePr>
            <a:graphic>
              <a:graphicData uri="http://schemas.openxmlformats.org/drawingml/2006/picture">
                <pic:pic>
                  <pic:nvPicPr>
                    <pic:cNvPr id="0" name="EVD-4-14_perimetro.png"/>
                    <pic:cNvPicPr/>
                  </pic:nvPicPr>
                  <pic:blipFill>
                    <a:blip r:embed="rId15"/>
                    <a:stretch>
                      <a:fillRect/>
                    </a:stretch>
                  </pic:blipFill>
                  <pic:spPr>
                    <a:xfrm>
                      <a:off x="0" y="0"/>
                      <a:ext cx="5943600" cy="4157011"/>
                    </a:xfrm>
                    <a:prstGeom prst="rect"/>
                  </pic:spPr>
                </pic:pic>
              </a:graphicData>
            </a:graphic>
          </wp:inline>
        </w:drawing>
      </w:r>
    </w:p>
    <w:p>
      <w:pPr>
        <w:spacing w:before="0" w:after="160" w:line="360" w:lineRule="auto"/>
        <w:jc w:val="both"/>
      </w:pPr>
      <w:r>
        <w:rPr>
          <w:i/>
          <w:sz w:val="24"/>
        </w:rPr>
        <w:t xml:space="preserve">Nota. </w:t>
      </w:r>
      <w:r>
        <w:rPr>
          <w:sz w:val="24"/>
        </w:rPr>
        <w:t>Elaboración propia. La única puerta expuesta es HTTPS 443 en API Gateway (solo TLS 1.3, authorizer de Cognito). El resto de la arquitectura es privado. Script scripts/bloque4_diagrama_perimetro.py.</w:t>
      </w:r>
    </w:p>
    <w:p>
      <w:pPr>
        <w:pStyle w:val="Heading2"/>
        <w:spacing w:before="0" w:after="160" w:line="360" w:lineRule="auto"/>
      </w:pPr>
      <w:r>
        <w:t>3.2 Pentesting caja gris / blanca</w:t>
      </w:r>
    </w:p>
    <w:p>
      <w:pPr>
        <w:spacing w:before="0" w:after="160" w:line="360" w:lineRule="auto"/>
        <w:ind w:firstLine="720"/>
        <w:jc w:val="both"/>
      </w:pPr>
      <w:r>
        <w:rPr>
          <w:i w:val="0"/>
          <w:sz w:val="24"/>
        </w:rPr>
        <w:t>En la prueba de caja gris y blanca usamos el conocimiento de la arquitectura, de la API y del código fuente para atacar la lógica de autenticación y, sobre todo, el control de acceso roto (BOLA e IDOR), que es el riesgo número uno del OWASP API Security Top 10. Montamos un arnés de pruebas (carpeta services/pentest) que ejecuta cada caso de abuso contra los mismos manejadores que se despliegan, con repositorios en memoria que imitan las condiciones de DynamoDB. El arnés corre en GitHub Actions dentro de las pruebas del flujo DevSecOps: si un control se rompiera, la prueba falla y el flujo se pone en rojo.</w:t>
      </w:r>
    </w:p>
    <w:p>
      <w:pPr>
        <w:spacing w:before="0" w:after="160" w:line="360" w:lineRule="auto"/>
        <w:ind w:firstLine="720"/>
        <w:jc w:val="both"/>
      </w:pPr>
      <w:r>
        <w:rPr>
          <w:i w:val="0"/>
          <w:sz w:val="24"/>
        </w:rPr>
        <w:t>La Tabla 39 presenta los casos de abuso que dependen del servidor y su resultado. Los casos que dependen del dispositivo o de la nube (CA-07 extracción de tokens, CA-08 MITM y certificate pinning, CA-10 Frida y detección de root con freeRASP, CA-11 secretos en el APK, CA-12 payloads del WAF y CA-16 saturación con la regla rate-based) se ejecutan en la Fase 5, cuando se enciende el WAF y se prueba la app en el dispositivo.</w:t>
      </w:r>
    </w:p>
    <w:p>
      <w:pPr>
        <w:spacing w:before="0" w:after="160" w:line="360" w:lineRule="auto"/>
        <w:sectPr>
          <w:headerReference w:type="default" r:id="rId7"/>
          <w:pgSz w:w="12240" w:h="15840"/>
          <w:pgMar w:top="1440" w:right="1440" w:bottom="1440" w:left="1440" w:header="708" w:footer="708" w:gutter="0"/>
          <w:docGrid w:linePitch="360"/>
        </w:sectPr>
      </w:pPr>
    </w:p>
    <w:p>
      <w:pPr>
        <w:keepNext/>
        <w:spacing w:before="0" w:after="160" w:line="360" w:lineRule="auto"/>
      </w:pPr>
      <w:r>
        <w:rPr>
          <w:b/>
          <w:sz w:val="24"/>
        </w:rPr>
        <w:t>Tabla 39</w:t>
      </w:r>
    </w:p>
    <w:p>
      <w:pPr>
        <w:keepNext/>
        <w:spacing w:before="0" w:after="160" w:line="360" w:lineRule="auto"/>
      </w:pPr>
      <w:r>
        <w:rPr>
          <w:i/>
          <w:sz w:val="24"/>
        </w:rPr>
        <w:t>Casos de abuso ejecutados contra los controles (caja gris)</w:t>
      </w:r>
    </w:p>
    <w:tbl>
      <w:tblPr>
        <w:tblW w:type="auto" w:w="0"/>
        <w:tblLayout w:type="fixed"/>
        <w:tblLook w:firstColumn="1" w:firstRow="1" w:lastColumn="0" w:lastRow="0" w:noHBand="0" w:noVBand="1" w:val="04A0"/>
      </w:tblPr>
      <w:tblGrid>
        <w:gridCol w:w="1165"/>
        <w:gridCol w:w="4454"/>
        <w:gridCol w:w="1570"/>
        <w:gridCol w:w="3028"/>
        <w:gridCol w:w="2740"/>
      </w:tblGrid>
      <w:tr>
        <w:trPr>
          <w:cantSplit/>
          <w:tblHeader/>
        </w:trPr>
        <w:tc>
          <w:tcPr>
            <w:tcW w:type="dxa" w:w="116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Caso</w:t>
            </w:r>
          </w:p>
        </w:tc>
        <w:tc>
          <w:tcPr>
            <w:tcW w:type="dxa" w:w="445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Abuso probado</w:t>
            </w:r>
          </w:p>
        </w:tc>
        <w:tc>
          <w:tcPr>
            <w:tcW w:type="dxa" w:w="157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Control</w:t>
            </w:r>
          </w:p>
        </w:tc>
        <w:tc>
          <w:tcPr>
            <w:tcW w:type="dxa" w:w="302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Respuesta esperada</w:t>
            </w:r>
          </w:p>
        </w:tc>
        <w:tc>
          <w:tcPr>
            <w:tcW w:type="dxa" w:w="274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Resultado</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CA‑01</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Leer los movimientos de una cuenta ajena (svc‑accounts)</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CTRL‑01</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404 no encontrado</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(404)</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CA‑01</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Consultar una transferencia de la que no se es origen ni destino</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CTRL‑01</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404 no encontrado</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(404)</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CA‑01</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Listar presupuestos de otro usuario (svc‑budgets)</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CTRL‑01</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Lista vacía (la llave usa el sub)</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(0 ajenos)</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CA‑02</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Fuerza bruta del PIN de transacción</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CTRL‑02</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Bloqueo de 15 min al 5.º fallo</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(5x403 y 423)</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CA‑03</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Exponer teléfono o userId en las respuestas</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CTRL‑03</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Datos enmascarados, sin userId</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(enmascarado)</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CA‑04</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Mass assignment: PATCH /me con role=admin</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CTRL‑04</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400 por campo no permitido</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(400)</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CA‑05</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Exfiltración por paginación (limit alto)</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CTRL‑05</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Rechazo o tope de 50</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(400)</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CA‑05</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Cursor de paginación armado para otra cuenta</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CTRL‑05</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400 solicitud inválida</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(400)</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CA‑06</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Doble gasto: 10 solicitudes con la misma Idempotency‑Key</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CTRL‑06</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Una sola transferencia</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(1 aplicada)</w:t>
            </w:r>
          </w:p>
        </w:tc>
      </w:tr>
      <w:tr>
        <w:trPr>
          <w:cantSplit/>
        </w:trPr>
        <w:tc>
          <w:tcPr>
            <w:tcW w:type="dxa" w:w="116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CA‑09</w:t>
            </w:r>
          </w:p>
        </w:tc>
        <w:tc>
          <w:tcPr>
            <w:tcW w:type="dxa" w:w="44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Acceder a /admin como cliente (sin grupo admins)</w:t>
            </w:r>
          </w:p>
        </w:tc>
        <w:tc>
          <w:tcPr>
            <w:tcW w:type="dxa" w:w="15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CTRL‑14</w:t>
            </w:r>
          </w:p>
        </w:tc>
        <w:tc>
          <w:tcPr>
            <w:tcW w:type="dxa" w:w="302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403 y auditoría del intento</w:t>
            </w:r>
          </w:p>
        </w:tc>
        <w:tc>
          <w:tcPr>
            <w:tcW w:type="dxa" w:w="27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Bloqueado (3x403 auditados)</w:t>
            </w:r>
          </w:p>
        </w:tc>
      </w:tr>
      <w:tr>
        <w:trPr>
          <w:cantSplit/>
        </w:trPr>
        <w:tc>
          <w:tcPr>
            <w:tcW w:type="dxa" w:w="116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CA‑13</w:t>
            </w:r>
          </w:p>
        </w:tc>
        <w:tc>
          <w:tcPr>
            <w:tcW w:type="dxa" w:w="445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Token JWT con la firma alterada</w:t>
            </w:r>
          </w:p>
        </w:tc>
        <w:tc>
          <w:tcPr>
            <w:tcW w:type="dxa" w:w="157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CTRL‑18</w:t>
            </w:r>
          </w:p>
        </w:tc>
        <w:tc>
          <w:tcPr>
            <w:tcW w:type="dxa" w:w="302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401 no autenticado</w:t>
            </w:r>
          </w:p>
        </w:tc>
        <w:tc>
          <w:tcPr>
            <w:tcW w:type="dxa" w:w="274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Bloqueado (401)</w:t>
            </w:r>
          </w:p>
        </w:tc>
      </w:tr>
    </w:tbl>
    <w:p>
      <w:pPr>
        <w:spacing w:before="0" w:after="160" w:line="360" w:lineRule="auto"/>
        <w:jc w:val="both"/>
      </w:pPr>
      <w:r>
        <w:rPr>
          <w:i/>
          <w:sz w:val="24"/>
        </w:rPr>
        <w:t xml:space="preserve">Nota. </w:t>
      </w:r>
      <w:r>
        <w:rPr>
          <w:sz w:val="24"/>
        </w:rPr>
        <w:t>Arnés services/pentest/pentest.test.ts, ejecutado con vitest contra los manejadores reales (evidencia EVD-4-05). Los 11 casos de servidor quedaron bloqueados; ninguno movió dinero ni expuso datos de otro usuario. Los casos de dispositivo y de WAF se ejecutan en la Fase 5.</w:t>
      </w:r>
    </w:p>
    <w:p>
      <w:pPr>
        <w:spacing w:before="0" w:after="160" w:line="360" w:lineRule="auto"/>
        <w:sectPr>
          <w:pgSz w:w="15840" w:h="12240" w:orient="landscape"/>
          <w:pgMar w:top="1440" w:right="1440" w:bottom="1440" w:left="1440" w:header="708" w:footer="708" w:gutter="0"/>
          <w:docGrid w:linePitch="360"/>
        </w:sectPr>
      </w:pPr>
    </w:p>
    <w:p>
      <w:pPr>
        <w:spacing w:before="0" w:after="160" w:line="360" w:lineRule="auto"/>
        <w:ind w:firstLine="720"/>
        <w:jc w:val="both"/>
      </w:pPr>
      <w:r>
        <w:rPr>
          <w:i w:val="0"/>
          <w:sz w:val="24"/>
        </w:rPr>
        <w:t>La prueba confirma que cada control hace lo que dice y, además, que no rompe el caso legítimo: la cuenta propia sí responde 200, el administrador real sí entra a /admin y ve los correos enmascarados, y una transferencia válida con su PIN correcto se aplica una sola vez. Un detalle importante del control de acceso: pedir un recurso ajeno responde 404, no 403, para no confirmarle al atacante que el recurso existe.</w:t>
      </w:r>
    </w:p>
    <w:p>
      <w:pPr>
        <w:pStyle w:val="Heading2"/>
        <w:spacing w:before="0" w:after="160" w:line="360" w:lineRule="auto"/>
      </w:pPr>
      <w:r>
        <w:t>3.3 Evaluación de APIs (OWASP API Top 10)</w:t>
      </w:r>
    </w:p>
    <w:p>
      <w:pPr>
        <w:spacing w:before="0" w:after="160" w:line="360" w:lineRule="auto"/>
        <w:ind w:firstLine="720"/>
        <w:jc w:val="both"/>
      </w:pPr>
      <w:r>
        <w:rPr>
          <w:i w:val="0"/>
          <w:sz w:val="24"/>
        </w:rPr>
        <w:t>Evaluamos la API contra el OWASP API Security Top 10 en su versión 2023. Para cada riesgo aplicable escribimos al menos una prueba contra los manejadores reales; la evidencia es el bloqueo. La Tabla 40 resume la cobertura: ocho riesgos aplican y quedaron cubiertos, y dos no aplican a esta arquitectura, con su justificación.</w:t>
      </w:r>
    </w:p>
    <w:p>
      <w:pPr>
        <w:spacing w:before="0" w:after="160" w:line="360" w:lineRule="auto"/>
        <w:sectPr>
          <w:pgSz w:w="12240" w:h="15840"/>
          <w:pgMar w:top="1440" w:right="1440" w:bottom="1440" w:left="1440" w:header="708" w:footer="708" w:gutter="0"/>
          <w:docGrid w:linePitch="360"/>
        </w:sectPr>
      </w:pPr>
    </w:p>
    <w:p>
      <w:pPr>
        <w:keepNext/>
        <w:spacing w:before="0" w:after="160" w:line="360" w:lineRule="auto"/>
      </w:pPr>
      <w:r>
        <w:rPr>
          <w:b/>
          <w:sz w:val="24"/>
        </w:rPr>
        <w:t>Tabla 40</w:t>
      </w:r>
    </w:p>
    <w:p>
      <w:pPr>
        <w:keepNext/>
        <w:spacing w:before="0" w:after="160" w:line="360" w:lineRule="auto"/>
      </w:pPr>
      <w:r>
        <w:rPr>
          <w:i/>
          <w:sz w:val="24"/>
        </w:rPr>
        <w:t>Cobertura del OWASP API Security Top 10 (2023)</w:t>
      </w:r>
    </w:p>
    <w:tbl>
      <w:tblPr>
        <w:tblW w:type="auto" w:w="0"/>
        <w:tblLayout w:type="fixed"/>
        <w:tblLook w:firstColumn="1" w:firstRow="1" w:lastColumn="0" w:lastRow="0" w:noHBand="0" w:noVBand="1" w:val="04A0"/>
      </w:tblPr>
      <w:tblGrid>
        <w:gridCol w:w="1700"/>
        <w:gridCol w:w="3273"/>
        <w:gridCol w:w="1669"/>
        <w:gridCol w:w="6316"/>
      </w:tblGrid>
      <w:tr>
        <w:trPr>
          <w:cantSplit/>
          <w:tblHeader/>
        </w:trPr>
        <w:tc>
          <w:tcPr>
            <w:tcW w:type="dxa" w:w="170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Riesgo</w:t>
            </w:r>
          </w:p>
        </w:tc>
        <w:tc>
          <w:tcPr>
            <w:tcW w:type="dxa" w:w="3273"/>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Nombre</w:t>
            </w:r>
          </w:p>
        </w:tc>
        <w:tc>
          <w:tcPr>
            <w:tcW w:type="dxa" w:w="166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Control</w:t>
            </w:r>
          </w:p>
        </w:tc>
        <w:tc>
          <w:tcPr>
            <w:tcW w:type="dxa" w:w="631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Prueba y resultado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API1:2023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Broken Object Level Authorization (BOLA)</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Recurso ajeno responde 404 en cuentas, transferencias y presupuestos.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API2:2023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Broken Authentication</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CTRL‑18, CTRL‑02</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Sin token, firma alterada o sub cruzado: 401. Fuerza bruta del PIN: bloqueo al 5.º fallo.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API3:2023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Broken Object Property Level Authorization</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CTRL‑04, CTRL‑03</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Campo no permitido (mass assignment): 400. Teléfono y userId enmascarados.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API4:2023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Unrestricted Resource Consumption</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CTRL‑05, CTRL‑04</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Paginación con tope de 50, cursor ajeno rechazado y cuerpo mayor a 8 KiB: 413.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API5:2023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Broken Function Level Authorization (BFLA)</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CTRL‑14</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Cliente en cada ruta /admin: 403 y auditoría del intento.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API6:2023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Unrestricted Access to Sensitive Business Flows</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CTRL‑06, CTRL‑04</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Idempotencia y carrera: una sola transferencia. Monto sobre el tope: 422.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API7:2023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Server Side Request Forgery (SSRF)</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No aplica</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Ninguna Lambda hace peticiones a URLs que elige el usuario; la única salida es a servicios de AWS por SDK, con endpoints fijos.</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API8:2023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Security Misconfiguration</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CTRL‑13</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Cabeceras de seguridad (HSTS, nosniff, DENY, CSP) en toda respuesta, sin CORS; errores genéricos con correlationId. Bloqueado.</w:t>
            </w:r>
          </w:p>
        </w:tc>
      </w:tr>
      <w:tr>
        <w:trPr>
          <w:cantSplit/>
        </w:trPr>
        <w:tc>
          <w:tcPr>
            <w:tcW w:type="dxa" w:w="170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API9:2023</w:t>
            </w:r>
          </w:p>
        </w:tc>
        <w:tc>
          <w:tcPr>
            <w:tcW w:type="dxa" w:w="327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Improper Inventory Management</w:t>
            </w:r>
          </w:p>
        </w:tc>
        <w:tc>
          <w:tcPr>
            <w:tcW w:type="dxa" w:w="16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CTRL‑13</w:t>
            </w:r>
          </w:p>
        </w:tc>
        <w:tc>
          <w:tcPr>
            <w:tcW w:type="dxa" w:w="631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Ruta o método no declarado: 404 genérico, sin filtrar rutas internas ni versiones. Bloqueado.</w:t>
            </w:r>
          </w:p>
        </w:tc>
      </w:tr>
      <w:tr>
        <w:trPr>
          <w:cantSplit/>
        </w:trPr>
        <w:tc>
          <w:tcPr>
            <w:tcW w:type="dxa" w:w="170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API10:2023</w:t>
            </w:r>
          </w:p>
        </w:tc>
        <w:tc>
          <w:tcPr>
            <w:tcW w:type="dxa" w:w="3273"/>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Unsafe Consumption of APIs</w:t>
            </w:r>
          </w:p>
        </w:tc>
        <w:tc>
          <w:tcPr>
            <w:tcW w:type="dxa" w:w="166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No aplica</w:t>
            </w:r>
          </w:p>
        </w:tc>
        <w:tc>
          <w:tcPr>
            <w:tcW w:type="dxa" w:w="631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No se consumen APIs de terceros con datos del usuario; la verificación del JWT usa el JWKS de Cognito (dominio fijo, firma validada).</w:t>
            </w:r>
          </w:p>
        </w:tc>
      </w:tr>
    </w:tbl>
    <w:p>
      <w:pPr>
        <w:spacing w:before="0" w:after="160" w:line="360" w:lineRule="auto"/>
        <w:jc w:val="both"/>
      </w:pPr>
      <w:r>
        <w:rPr>
          <w:i/>
          <w:sz w:val="24"/>
        </w:rPr>
        <w:t xml:space="preserve">Nota. </w:t>
      </w:r>
      <w:r>
        <w:rPr>
          <w:sz w:val="24"/>
        </w:rPr>
        <w:t>Arnés services/pentest (evidencia EVD-4-04): 18 pruebas sobre los ocho riesgos aplicables, todas bloqueadas. La numeración de los riesgos es la del OWASP API Security Top 10 2023.</w:t>
      </w:r>
    </w:p>
    <w:p>
      <w:pPr>
        <w:spacing w:before="0" w:after="160" w:line="360" w:lineRule="auto"/>
        <w:sectPr>
          <w:pgSz w:w="15840" w:h="12240" w:orient="landscape"/>
          <w:pgMar w:top="1440" w:right="1440" w:bottom="1440" w:left="1440" w:header="708" w:footer="708" w:gutter="0"/>
          <w:docGrid w:linePitch="360"/>
        </w:sectPr>
      </w:pPr>
    </w:p>
    <w:p>
      <w:pPr>
        <w:pStyle w:val="Heading2"/>
        <w:spacing w:before="0" w:after="160" w:line="360" w:lineRule="auto"/>
      </w:pPr>
      <w:r>
        <w:t>3.6 Evaluación de arquitectura cloud</w:t>
      </w:r>
    </w:p>
    <w:p>
      <w:pPr>
        <w:spacing w:before="0" w:after="160" w:line="360" w:lineRule="auto"/>
        <w:ind w:firstLine="720"/>
        <w:jc w:val="both"/>
      </w:pPr>
      <w:r>
        <w:rPr>
          <w:i w:val="0"/>
          <w:sz w:val="24"/>
        </w:rPr>
        <w:t>Por último evaluamos la configuración de la nube con acceso a la arquitectura (caja blanca). Combinamos dos fuentes: el análisis de infraestructura como código con Checkov, que ya corre en cada cambio, y un escaneo de la cuenta desplegada con Prowler, que corre en pentest.yml con el rol de solo lectura. A esto se suman las verificaciones automáticas del despliegue (menor privilegio de IAM, cifrado en reposo y TLS). La Tabla 41 resume los aspectos evaluados y su evidencia.</w:t>
      </w:r>
    </w:p>
    <w:p>
      <w:pPr>
        <w:keepNext/>
        <w:spacing w:before="0" w:after="160" w:line="360" w:lineRule="auto"/>
      </w:pPr>
      <w:r>
        <w:rPr>
          <w:b/>
          <w:sz w:val="24"/>
        </w:rPr>
        <w:t>Tabla 41</w:t>
      </w:r>
    </w:p>
    <w:p>
      <w:pPr>
        <w:keepNext/>
        <w:spacing w:before="0" w:after="160" w:line="360" w:lineRule="auto"/>
      </w:pPr>
      <w:r>
        <w:rPr>
          <w:i/>
          <w:sz w:val="24"/>
        </w:rPr>
        <w:t>Evaluación de la arquitectura cloud</w:t>
      </w:r>
    </w:p>
    <w:tbl>
      <w:tblPr>
        <w:tblW w:type="auto" w:w="0"/>
        <w:tblLayout w:type="fixed"/>
        <w:tblLook w:firstColumn="1" w:firstRow="1" w:lastColumn="0" w:lastRow="0" w:noHBand="0" w:noVBand="1" w:val="04A0"/>
      </w:tblPr>
      <w:tblGrid>
        <w:gridCol w:w="2224"/>
        <w:gridCol w:w="2993"/>
        <w:gridCol w:w="4141"/>
      </w:tblGrid>
      <w:tr>
        <w:trPr>
          <w:cantSplit/>
          <w:tblHeader/>
        </w:trPr>
        <w:tc>
          <w:tcPr>
            <w:tcW w:type="dxa" w:w="222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Aspecto</w:t>
            </w:r>
          </w:p>
        </w:tc>
        <w:tc>
          <w:tcPr>
            <w:tcW w:type="dxa" w:w="299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Herramienta o evidencia</w:t>
            </w:r>
          </w:p>
        </w:tc>
        <w:tc>
          <w:tcPr>
            <w:tcW w:type="dxa" w:w="4142"/>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Resultado</w:t>
            </w:r>
          </w:p>
        </w:tc>
      </w:tr>
      <w:tr>
        <w:trPr>
          <w:cantSplit/>
        </w:trPr>
        <w:tc>
          <w:tcPr>
            <w:tcW w:type="dxa" w:w="222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IaC (Terraform y Dockerfile)</w:t>
            </w:r>
          </w:p>
        </w:tc>
        <w:tc>
          <w:tcPr>
            <w:tcW w:type="dxa" w:w="299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Checkov 3.3.22 (EVD‑3‑06)</w:t>
            </w:r>
          </w:p>
        </w:tc>
        <w:tc>
          <w:tcPr>
            <w:tcW w:type="dxa" w:w="414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282 verificaciones pasan, 0 fallan, 39 omitidas con motivo</w:t>
            </w:r>
          </w:p>
        </w:tc>
      </w:tr>
      <w:tr>
        <w:trPr>
          <w:cantSplit/>
        </w:trPr>
        <w:tc>
          <w:tcPr>
            <w:tcW w:type="dxa" w:w="222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Menor privilegio de IAM</w:t>
            </w:r>
          </w:p>
        </w:tc>
        <w:tc>
          <w:tcPr>
            <w:tcW w:type="dxa" w:w="299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Simulador de políticas (EVD‑3‑11)</w:t>
            </w:r>
          </w:p>
        </w:tc>
        <w:tc>
          <w:tcPr>
            <w:tcW w:type="dxa" w:w="414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Cada Lambda solo toca sus tablas; ninguna tiene Scan</w:t>
            </w:r>
          </w:p>
        </w:tc>
      </w:tr>
      <w:tr>
        <w:trPr>
          <w:cantSplit/>
        </w:trPr>
        <w:tc>
          <w:tcPr>
            <w:tcW w:type="dxa" w:w="222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Cifrado en reposo</w:t>
            </w:r>
          </w:p>
        </w:tc>
        <w:tc>
          <w:tcPr>
            <w:tcW w:type="dxa" w:w="299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KMS y DynamoDB (EVD‑5‑04)</w:t>
            </w:r>
          </w:p>
        </w:tc>
        <w:tc>
          <w:tcPr>
            <w:tcW w:type="dxa" w:w="414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CMK propia con rotación; 8 tablas cifradas con PITR</w:t>
            </w:r>
          </w:p>
        </w:tc>
      </w:tr>
      <w:tr>
        <w:trPr>
          <w:cantSplit/>
        </w:trPr>
        <w:tc>
          <w:tcPr>
            <w:tcW w:type="dxa" w:w="222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Solo TLS 1.3 en tránsito</w:t>
            </w:r>
          </w:p>
        </w:tc>
        <w:tc>
          <w:tcPr>
            <w:tcW w:type="dxa" w:w="299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Prueba de TLS (EVD‑3‑12)</w:t>
            </w:r>
          </w:p>
        </w:tc>
        <w:tc>
          <w:tcPr>
            <w:tcW w:type="dxa" w:w="414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TLS 1.3 aceptado, 1.2 rechazado</w:t>
            </w:r>
          </w:p>
        </w:tc>
      </w:tr>
      <w:tr>
        <w:trPr>
          <w:cantSplit/>
        </w:trPr>
        <w:tc>
          <w:tcPr>
            <w:tcW w:type="dxa" w:w="222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Postura de la cuenta</w:t>
            </w:r>
          </w:p>
        </w:tc>
        <w:tc>
          <w:tcPr>
            <w:tcW w:type="dxa" w:w="299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Prowler (EVD‑3‑09, pentest.yml)</w:t>
            </w:r>
          </w:p>
        </w:tc>
        <w:tc>
          <w:tcPr>
            <w:tcW w:type="dxa" w:w="414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Escaneo de solo lectura sobre los servicios de Q‑Wallet; hallazgos en el issue «Evidencias Pentest»</w:t>
            </w:r>
          </w:p>
        </w:tc>
      </w:tr>
      <w:tr>
        <w:trPr>
          <w:cantSplit/>
        </w:trPr>
        <w:tc>
          <w:tcPr>
            <w:tcW w:type="dxa" w:w="222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Perímetro de red</w:t>
            </w:r>
          </w:p>
        </w:tc>
        <w:tc>
          <w:tcPr>
            <w:tcW w:type="dxa" w:w="299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Nmap y mapeo (EVD‑4‑01, Figura 9)</w:t>
            </w:r>
          </w:p>
        </w:tc>
        <w:tc>
          <w:tcPr>
            <w:tcW w:type="dxa" w:w="4142"/>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Un solo endpoint HTTPS expuesto; el resto privado</w:t>
            </w:r>
          </w:p>
        </w:tc>
      </w:tr>
    </w:tbl>
    <w:p>
      <w:pPr>
        <w:spacing w:before="0" w:after="160" w:line="360" w:lineRule="auto"/>
        <w:jc w:val="both"/>
      </w:pPr>
      <w:r>
        <w:rPr>
          <w:i/>
          <w:sz w:val="24"/>
        </w:rPr>
        <w:t xml:space="preserve">Nota. </w:t>
      </w:r>
      <w:r>
        <w:rPr>
          <w:sz w:val="24"/>
        </w:rPr>
        <w:t>Prowler corre con un rol de AWS de solo lectura (SecurityAudit y ViewOnlyAccess) asumido por OIDC, acotado a los servicios del proyecto. Su reporte, con el número de cuenta y los ARN tapados, se publica en el issue «Evidencias Pentest» y se integra a esta sección al ensamblar el informe final; cualquier hallazgo real se registra como HAL y se corrige.</w:t>
      </w:r>
    </w:p>
    <w:p>
      <w:pPr>
        <w:spacing w:before="0" w:after="160" w:line="360" w:lineRule="auto"/>
        <w:ind w:firstLine="720"/>
        <w:jc w:val="both"/>
      </w:pPr>
      <w:r>
        <w:rPr>
          <w:i w:val="0"/>
          <w:sz w:val="24"/>
        </w:rPr>
        <w:t>En conjunto, la evaluación de arquitectura muestra una cuenta con menor privilegio real (cada rol solo puede tocar lo suyo), cifrado con llave propia, tránsito solo por TLS 1.3 y una superficie de ataque mínima. El escaneo con Prowler completa la foto con las verificaciones de referencia de la industria (CIS) sobre la cuenta desplegada.</w:t>
      </w:r>
    </w:p>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nsid w:val="014CA801"/>
    <w:multiLevelType w:val="singleLevel"/>
    <w:tmpl w:val="29761A62"/>
    <w:lvl w:ilvl="0">
      <w:start w:val="1"/>
      <w:numFmt w:val="bullet"/>
      <w:pStyle w:val="ListBullet"/>
      <w:lvlText w:val=""/>
      <w:lvlJc w:val="left"/>
      <w:pPr>
        <w:tabs>
          <w:tab w:val="num" w:pos="360"/>
        </w:tabs>
        <w:ind w:left="360" w:hanging="360"/>
      </w:pPr>
      <w:rPr>
        <w:rFonts w:ascii="Symbol" w:hAnsi="Symbol" w:hint="default" w:eastAsia="Arial" w:cs="Symbol"/>
      </w:r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before="0"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160" w:line="360" w:lineRule="auto" w:before="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160" w:line="360" w:lineRule="auto" w:before="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60" w:leader="dot"/>
      </w:tabs>
    </w:pPr>
    <w:rPr>
      <w:rFonts w:ascii="Arial" w:cs="Arial" w:eastAsia="Arial" w:hAnsi="Arial"/>
      <w:sz w:val="24"/>
      <w:szCs w:val="24"/>
    </w:rPr>
  </w:style>
  <w:style w:type="paragraph" w:styleId="TOC2">
    <w:name w:val="toc 2"/>
    <w:basedOn w:val="Normal"/>
    <w:next w:val="Normal"/>
    <w:pPr>
      <w:tabs>
        <w:tab w:val="right" w:pos="9360" w:leader="dot"/>
      </w:tabs>
      <w:ind w:left="360"/>
    </w:pPr>
    <w:rPr>
      <w:rFonts w:ascii="Arial" w:cs="Arial" w:eastAsia="Arial" w:hAnsi="Arial"/>
      <w:sz w:val="24"/>
      <w:szCs w:val="24"/>
    </w:rPr>
  </w:style>
  <w:style w:type="paragraph" w:styleId="TOC3">
    <w:name w:val="toc 3"/>
    <w:basedOn w:val="Normal"/>
    <w:next w:val="Normal"/>
    <w:pPr>
      <w:tabs>
        <w:tab w:val="right" w:pos="9360" w:leader="dot"/>
      </w:tabs>
      <w:ind w:left="720"/>
    </w:pPr>
    <w:rPr>
      <w:rFonts w:ascii="Arial" w:cs="Arial" w:eastAsia="Arial" w:hAnsi="Arial"/>
      <w:sz w:val="24"/>
      <w:szCs w:val="24"/>
    </w:rPr>
  </w:style>
  <w:style w:type="paragraph" w:styleId="ListBullet">
    <w:name w:val="List Bullet"/>
    <w:basedOn w:val="Normal"/>
    <w:uiPriority w:val="99"/>
    <w:unhideWhenUsed/>
    <w:rsid w:val="00326F90"/>
    <w:pPr>
      <w:numPr>
        <w:numId w:val="2"/>
      </w:numPr>
      <w:contextualSpacing/>
    </w:pPr>
  </w:style>
  <w:style w:type="paragraph" w:styleId="Heading1">
    <w:name w:val="heading 1"/>
    <w:basedOn w:val="Normal"/>
    <w:next w:val="Normal"/>
    <w:uiPriority w:val="9"/>
    <w:qFormat/>
    <w:pPr>
      <w:keepNext/>
      <w:keepLines/>
      <w:spacing w:before="0" w:after="160" w:line="360" w:lineRule="auto"/>
      <w:jc w:val="center"/>
      <w:outlineLvl w:val="0"/>
    </w:pPr>
    <w:rPr>
      <w:rFonts w:ascii="Arial" w:hAnsi="Arial" w:cs="Arial" w:eastAsia="Arial"/>
      <w:b/>
      <w:bCs/>
      <w:i w:val="0"/>
      <w:iCs w:val="0"/>
      <w:color w:val="000000"/>
      <w:sz w:val="24"/>
      <w:szCs w:val="24"/>
    </w:rPr>
  </w:style>
  <w:style w:type="paragraph" w:styleId="Heading2">
    <w:name w:val="heading 2"/>
    <w:basedOn w:val="Normal"/>
    <w:next w:val="Normal"/>
    <w:uiPriority w:val="9"/>
    <w:qFormat/>
    <w:pPr>
      <w:keepNext/>
      <w:keepLines/>
      <w:spacing w:before="0" w:after="160" w:line="360" w:lineRule="auto"/>
      <w:jc w:val="left"/>
      <w:outlineLvl w:val="1"/>
    </w:pPr>
    <w:rPr>
      <w:rFonts w:ascii="Arial" w:hAnsi="Arial" w:cs="Arial" w:eastAsia="Arial"/>
      <w:b/>
      <w:bCs/>
      <w:i w:val="0"/>
      <w:iCs w:val="0"/>
      <w:color w:val="000000"/>
      <w:sz w:val="24"/>
      <w:szCs w:val="24"/>
    </w:rPr>
  </w:style>
  <w:style w:type="paragraph" w:styleId="Heading3">
    <w:name w:val="heading 3"/>
    <w:basedOn w:val="Normal"/>
    <w:next w:val="Normal"/>
    <w:uiPriority w:val="9"/>
    <w:qFormat/>
    <w:pPr>
      <w:keepNext/>
      <w:keepLines/>
      <w:spacing w:before="0" w:after="160" w:line="360" w:lineRule="auto"/>
      <w:jc w:val="left"/>
      <w:outlineLvl w:val="2"/>
    </w:pPr>
    <w:rPr>
      <w:rFonts w:ascii="Arial" w:hAnsi="Arial" w:cs="Arial" w:eastAsia="Arial"/>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Q-Wallet</dc:creator>
  <cp:lastModifiedBy>Un-named</cp:lastModifiedBy>
  <cp:revision>1</cp:revision>
  <dcterms:created xsi:type="dcterms:W3CDTF">2026-10-14T03:11:59.349Z</dcterms:created>
  <dcterms:modified xsi:type="dcterms:W3CDTF">2026-10-14T03:11:59.355Z</dcterms:modified>
  <dc:title>Q-Wallet: Entrega 1 — Selección y Planificación; Activos y Riesgos</dc:title>
</cp:coreProperties>
</file>

<file path=docProps/custom.xml><?xml version="1.0" encoding="utf-8"?>
<Properties xmlns="http://schemas.openxmlformats.org/officeDocument/2006/custom-properties" xmlns:vt="http://schemas.openxmlformats.org/officeDocument/2006/docPropsVTypes"/>
</file>