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 Activos y Riesgos</w:t>
      </w:r>
    </w:p>
    <w:p>
      <w:pPr>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(International Organization for Standardization [ISO] &amp; International Electrotechnical Commission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ind w:firstLine="720"/>
        <w:jc w:val="both"/>
      </w:pPr>
      <w:r>
        <w:t>Las escalas de valoración son fijas para todo el proyecto y se aplican sin cambios en cada subsección. Los datos de amenazas provienen del modelo de amenazas elaborado en OWASP Threat Dragon (versión 2 del modelo, 41 amenazas sobre tres diagramas de flujo de datos), que se conserva en el repositorio del proyecto.</w:t>
      </w:r>
    </w:p>
    <w:p>
      <w:pPr>
        <w:pStyle w:val="Heading2"/>
      </w:pPr>
      <w:r>
        <w:t>2.1 Inventario de activos</w:t>
      </w:r>
    </w:p>
    <w:p>
      <w:pPr>
        <w:ind w:firstLine="720"/>
        <w:jc w:val="both"/>
      </w:pPr>
      <w:r>
        <w:t>Construimos el inventario siguiendo el control 5.9 del Anexo A de ISO/IEC 27001:2022 (ISO &amp;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JM-104-2021)»,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ficticia del proyecto: Gerente de Producto para los activos de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(Amazon Web Services, s. f.). La Tabla 12 presenta el inventario completo.</w:t>
      </w:r>
    </w:p>
    <w:p>
      <w:pPr>
        <w:sectPr>
          <w:pgSz w:w="12240" w:h="15840"/>
          <w:pgMar w:top="1440" w:right="1440" w:bottom="1440" w:left="1440" w:header="720" w:footer="720" w:gutter="0"/>
          <w:cols w:space="720"/>
          <w:docGrid w:linePitch="360"/>
        </w:sectPr>
      </w:pPr>
    </w:p>
    <w:p>
      <w:pPr>
        <w:keepNext/>
        <w:spacing w:before="240" w:line="240" w:lineRule="auto"/>
      </w:pPr>
      <w:r>
        <w:rPr>
          <w:b/>
        </w:rPr>
        <w:t>Tabla 12</w:t>
      </w:r>
    </w:p>
    <w:p>
      <w:pPr>
        <w:keepNext/>
        <w:spacing w:line="240" w:lineRule="auto" w:after="120"/>
      </w:pPr>
      <w:r>
        <w:rPr>
          <w:i/>
        </w:rPr>
        <w:t>Inventario de activos de Q-Wallet según ISO/IEC 27001:2022</w:t>
      </w:r>
    </w:p>
    <w:tbl>
      <w:tblPr>
        <w:jc w:val="center"/>
        <w:tblLayout w:type="fixed"/>
        <w:tblLook w:firstColumn="1" w:firstRow="1" w:lastColumn="0" w:lastRow="0" w:noHBand="0" w:noVBand="1" w:val="04A0"/>
        <w:tblLayout w:type="fixed"/>
        <w:tblW w:w="12880" w:type="dxa"/>
      </w:tblPr>
      <w:tblGrid>
        <w:gridCol w:w="660"/>
        <w:gridCol w:w="1150"/>
        <w:gridCol w:w="1000"/>
        <w:gridCol w:w="1500"/>
        <w:gridCol w:w="860"/>
        <w:gridCol w:w="950"/>
        <w:gridCol w:w="270"/>
        <w:gridCol w:w="270"/>
        <w:gridCol w:w="270"/>
        <w:gridCol w:w="480"/>
        <w:gridCol w:w="760"/>
        <w:gridCol w:w="2000"/>
        <w:gridCol w:w="880"/>
        <w:gridCol w:w="880"/>
        <w:gridCol w:w="950"/>
      </w:tblGrid>
      <w:tr>
        <w:trPr>
          <w:cantSplit/>
          <w:tblHeader/>
        </w:trPr>
        <w:tc>
          <w:tcPr>
            <w:tcW w:type="dxa" w:w="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ID</w:t>
            </w:r>
          </w:p>
        </w:tc>
        <w:tc>
          <w:tcPr>
            <w:tcW w:type="dxa" w:w="11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Nombre</w:t>
            </w:r>
          </w:p>
        </w:tc>
        <w:tc>
          <w:tcPr>
            <w:tcW w:type="dxa" w:w="1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Proceso asociado</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Descripción</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Tipo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Ubicación</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I</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D</w:t>
            </w:r>
          </w:p>
        </w:tc>
        <w:tc>
          <w:tcPr>
            <w:tcW w:type="dxa" w:w="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Valor</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Criticidad</w:t>
            </w:r>
          </w:p>
        </w:tc>
        <w:tc>
          <w:tcPr>
            <w:tcW w:type="dxa" w:w="2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Justificación</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Propietario</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Custodio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Usuarios con acceso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Datos personales de clientes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F4 búsqueda por teléfono; 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Nombre, DPI, teléfono y correo de cada cliente.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 y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el DPI y el teléfono permiten suplantar identidad. I Media: un dato erróneo se corrige por soporte. D Media: su falta impide operar, sin pérdida de dinero.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(propios); svc-profile; svc-admin; Soporte (enmascarado, CTRL-03)</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Saldos y movimientos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Consulta; F4 Transferencia; F6 Control de gastos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 en GTQ (enteros en centavos) e historial de transacciones.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revela la situación financiera. I Alta: alterarlo crea o destruye dinero. D Alta: sin saldo la billetera no opera.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(cuenta propia); svc-accounts; svc-transfers; svc-budgets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Credenciales y tokens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Inicio de sesión; F2 Desbloqueo biométrico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Contraseña y semilla TOTP en Cognito; tokens JWT (acceso, ID, refresh) en 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Cognito / Dispositivo: Keystore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dan acceso a la cuenta. I Alta: un token alterado permite suplantar. D Media: se reemiten con un nuevo inicio de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Cognito; API Gateway (authorizer)</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PIN de transacción (hash)</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F4 Transferencia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Hash scrypt con sal del PIN y contador de intentos fallidos.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 el hash se intenta fuerza bruta fuera de línea. I Alta: alterar el contador anula el bloqueo. D Media: el PIN se puede restablecer.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(POST /pin); svc-transfers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Registros de auditoría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Logs JSON con correlationId y eventos de CloudTrail exportados a S3.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CloudWatch Logs y S3</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por diseño no llevan tokens ni PII (CTRL-09). I Alta: sostienen el no repudio. D Media: se usan en investigaciones, no en la operación.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Lambdas (escritura); Soporte (GET /admin/audit); Wazuh y Pentester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Llaves KMS (CMK)</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Cifrado en reposo de 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 administrada por el cliente, con rotación anual, para DynamoDB, S3 y CloudWatch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KMS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su uso indebido descifra todos los datos. I Alta: una política alterada da acceso a terceros. D Alta: si se deshabilita, los datos quedan inaccesibles.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Roles IAM de las Lambdas (cifrar/descifrar); DevSecOps (administración)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Secretos de configuración (SSM)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servicios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Parámetros SecureString con la configuración sensible de los servicios.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SSM Parameter 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abren acceso a otros servicios. I Alta: un valor alterado cambia el comportamiento. D Media: se restablecen desde la IaC.</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parámetros);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fuente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seguro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de la app, los cinco servicios y la IaC en el repositorio q-wallet.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(público)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por decisión y el diseño no depende de ocultar el código. I Alta: un cambio malicioso llega a producción. D Media: existen copias locales.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(escritura por PR); público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Estado de Terraform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de infraestructura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Archivo de estado con identificadores y atributos de los recursos AWS.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bucket S3 de estado [VERIFICAR: backend aún no definido en /infra]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puede guardar atributos sensibles. I Alta: un estado alterado provoca cambios no deseados. D Media: se reconstruye importando recursos.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GitHub Actions (rol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App Android Q-Wallet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APK de React Native/Expo con Hermes, R8, freeRASP y pinning.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APK es público y no contiene secretos (CTRL-16). I Alta: una app alterada engaña al cliente. D Media: sin la app no hay acceso.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Microservicios Lambda (5)</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svc-accounts, svc-transfers, svc-budgets y svc-admin (Node.js 24, imagen de contenedor, rol IAM propio).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Lambda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procesan datos sensibles sin almacenarlos. I Alta: contienen la lógica de negocio. D Alta: sin ellos no opera ninguna función.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(invocación); GitHub Actions (despliegue)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REST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Entrada única con Cognito Authorizer, throttling y validación de solicitudes.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API Gateway</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endpoint es público por diseño. I Alta: una ruta mal configurada expone servicios. D Alta: es el único punto de entrada.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(vía app o API);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Cognito User Pool</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e inicio de sesión;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Directorio de identidades con managed login, MFA TOTP y grupo admins.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credenciales e identidades. I Alta: decide quién es cada usuario y su grupo. D Alta: sin él nadie inicia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(inicio de sesión);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DynamoDB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Tablas de perfiles, cuentas, transferencias, beneficiarios, presupuestos e idempotencia, cifradas con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concentra datos personales y financieros. I Alta: guarda los saldos. D Alta: sin la base no opera la billetera.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tablas);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contenedor (ECR)</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los cinco servicios construidas en CI, con base fijada por digest.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ECR</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contienen el código compilado. I Alta: una imagen alterada corre con el rol de la Lambda. D Media: se reconstruyen desde el pipeline.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 Actions (push); Lambda (pull)</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Pipeline CI/CD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Workflows de GitHub Actions con SAST, SCA, análisis de IaC y despliegue por OIDC.</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Actions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 la estructura de despliegue. I Alta: puede desplegar código malicioso. D Baja: su caída detiene despliegues,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(vía PR); rol OIDC en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Dependencias npm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Paquetes de terceros de la app y los servicios, fijados con --save-exact y package-lock.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 registro npm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son código público. I Alta: un paquete malicioso entra al producto. D Baja: las versiones fijadas permiten reconstruir.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pipeline CI; Dependabot</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móvil del cliente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Teléfono Android del cliente con Keystore y biometría.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tokens y mantiene la sesión. I Media: root o malware alteran la app. D Media: su pérdida impide operar hasta reinstalar.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Estaciones de trabajo del equipo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Equipos Windows con el repositorio, AWS CLI, Docker y 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guardan credenciales de AWS y GitHub y las llaves del SIEM. I Media: un equipo alterado puede contaminar commits. D Baja: su falla no detiene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Infraestructura física AWS us-east-1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Centros de datos de la región donde se despliega toda la solución.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región us-east-1</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e I Media: las protege AWS por responsabilidad compartida. D Alta: el despliegue es de una sola región.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Ninguno directo (solo personal de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de desarrollo / DevSecOps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Los tres integrantes con sus roles (I1, I2, I3).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conocen la arquitectura y los controles. I Alta: sus decisiones definen la seguridad. D Alta: tres personas concentran todo el conocimiento.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 de soporte (admins)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Usuarios del grupo admins que listan y bloquean cuentas y consultan auditoría.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 / remoto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acceden a datos de clientes y auditoría. I Alta: pueden bloquear cuentas. D Baja: la operación del cliente no depende de ellos.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AWS (proveedor cloud)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Proveedor de cómputo, datos, identidad, llaves y red.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I y D Alta: aloja todos los datos y servicios; la dependencia es total.</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(consola y CLI con MFA); GitHub Actions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Hospedaje del repositorio, Actions, Dependabot y secret scanning.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(SaaS)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I Alta: controla qué llega a producción. D Baja: su caída detiene el desarrollo,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 de correo de Cognito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y recuperación de cuenta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Envío de códigos de verificación y de recuperación de contraseña.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los códigos son de un solo uso. I Media: un correo falso induce phishing. D Baja: solo retrasa registros y recuperaciones.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(destinatarios)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Reputación de la marca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Confianza de los clientes en Q-Wallet, 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no es información reservada. I Alta: un incidente la deteriora de forma duradera. D Media: se recupera con tiempo y comunicación.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Alineación regulatoria (referencia JM-104-2021)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Gobierno de seguridad</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Diseño de controles con referencia a la JM-104-2021 y al Decreto 67-2001; Q-Wallet, S.A. no es entidad supervisada.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4</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los marcos son públicos. I Media: afirmar algo inexacto afecta la credibilidad. D Baja: no hay auditoría externa periódica.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Pentester / Analista de Riesgos (I3)</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w:t>
            </w:r>
          </w:p>
        </w:tc>
      </w:tr>
      <w:tr>
        <w:trPr>
          <w:cantSplit/>
        </w:trPr>
        <w:tc>
          <w:tcPr>
            <w:tcW w:type="dxa" w:w="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ACT-28</w:t>
            </w:r>
          </w:p>
        </w:tc>
        <w:tc>
          <w:tcPr>
            <w:tcW w:type="dxa" w:w="11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SIEM Wazuh</w:t>
            </w:r>
          </w:p>
        </w:tc>
        <w:tc>
          <w:tcPr>
            <w:tcW w:type="dxa" w:w="1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Monitoreo y respuesta a incidentes</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Wazuh 4.14.8 en Docker local que correlaciona CloudTrail y CloudWatch.</w:t>
            </w:r>
          </w:p>
        </w:tc>
        <w:tc>
          <w:tcPr>
            <w:tcW w:type="dxa" w:w="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Local: estación del equipo</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C Media: lee los registros de toda la cuenta. I Alta: una alerta alterada oculta un ataque. D Media: CloudTrail conserva los eventos si se apaga.</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Pentester / Analista (I3); DevSecOps (I2)</w:t>
            </w:r>
          </w:p>
        </w:tc>
      </w:tr>
    </w:tbl>
    <w:p>
      <w:pPr>
        <w:spacing w:line="240" w:lineRule="auto" w:before="80" w:after="240"/>
        <w:jc w:val="both"/>
      </w:pPr>
      <w:r>
        <w:rPr>
          <w:i/>
          <w:sz w:val="20"/>
        </w:rPr>
        <w:t xml:space="preserve">Nota. </w:t>
      </w:r>
      <w:r>
        <w:rPr>
          <w:sz w:val="20"/>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ectPr>
          <w:pgSz w:w="15840" w:h="12240" w:orient="landscape"/>
          <w:pgMar w:top="1440" w:right="1440" w:bottom="1440" w:left="1440" w:header="720" w:footer="720" w:gutter="0"/>
          <w:cols w:space="720"/>
          <w:docGrid w:linePitch="360"/>
        </w:sectPr>
      </w:pPr>
    </w:p>
    <w:p>
      <w:pPr>
        <w:pStyle w:val="Heading2"/>
      </w:pPr>
      <w:r>
        <w:t>2.2 Clasificación CIA y criticidad</w:t>
      </w:r>
    </w:p>
    <w:p>
      <w:pPr>
        <w:ind w:firstLine="720"/>
        <w:jc w:val="both"/>
      </w:pPr>
      <w:r>
        <w:t xml:space="preserve">Valoramos cada activo en las tres dimensiones de la tríada CIA con una escala ordinal de tres niveles.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240" w:line="240" w:lineRule="auto"/>
      </w:pPr>
      <w:r>
        <w:rPr>
          <w:b/>
        </w:rPr>
        <w:t>Tabla 13</w:t>
      </w:r>
    </w:p>
    <w:p>
      <w:pPr>
        <w:keepNext/>
        <w:spacing w:line="240" w:lineRule="auto" w:after="120"/>
      </w:pPr>
      <w:r>
        <w:rPr>
          <w:i/>
        </w:rPr>
        <w:t>Criterios de valoración CIA</w:t>
      </w:r>
    </w:p>
    <w:tbl>
      <w:tblPr>
        <w:jc w:val="center"/>
        <w:tblLayout w:type="fixed"/>
        <w:tblLook w:firstColumn="1" w:firstRow="1" w:lastColumn="0" w:lastRow="0" w:noHBand="0" w:noVBand="1" w:val="04A0"/>
        <w:tblLayout w:type="fixed"/>
        <w:tblW w:w="9360" w:type="dxa"/>
      </w:tblPr>
      <w:tblGrid>
        <w:gridCol w:w="1100"/>
        <w:gridCol w:w="700"/>
        <w:gridCol w:w="2520"/>
        <w:gridCol w:w="2520"/>
        <w:gridCol w:w="2520"/>
      </w:tblGrid>
      <w:tr>
        <w:trPr>
          <w:cantSplit/>
          <w:tblHeader/>
        </w:trPr>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Nivel</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Valor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Confidencialidad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Integridad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Disponibilidad</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Alta (A)</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permite suplantar, mover dinero o comprometer toda la plataforma</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crea o destruye dinero, cambia identidades o despliega código no revisado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detiene la billetera para todos los clientes</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Media (M)</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orienta a un atacante o expone datos limitados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causa errores corregibles o afecta controles secundarios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degrada un proceso o se restablece con un procedimiento conocido</w:t>
            </w:r>
          </w:p>
        </w:tc>
      </w:tr>
      <w:tr>
        <w:trPr>
          <w:cantSplit/>
        </w:trPr>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Baja (B)</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Es información pública o sin valor para un atacante</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alteración no afecta la operación ni la seguridad</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ausencia no afecta la operación del cliente</w:t>
            </w:r>
          </w:p>
        </w:tc>
      </w:tr>
    </w:tbl>
    <w:p>
      <w:pPr>
        <w:spacing w:line="240" w:lineRule="auto" w:before="80" w:after="240"/>
        <w:jc w:val="both"/>
      </w:pPr>
      <w:r>
        <w:rPr>
          <w:i/>
          <w:sz w:val="20"/>
        </w:rPr>
        <w:t xml:space="preserve">Nota. </w:t>
      </w:r>
      <w:r>
        <w:rPr>
          <w:sz w:val="20"/>
        </w:rPr>
        <w:t>Elaboración propia. Escala fija del proyecto.</w:t>
      </w:r>
    </w:p>
    <w:p>
      <w:pPr>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240" w:line="240" w:lineRule="auto"/>
      </w:pPr>
      <w:r>
        <w:rPr>
          <w:b/>
        </w:rPr>
        <w:t>Tabla 14</w:t>
      </w:r>
    </w:p>
    <w:p>
      <w:pPr>
        <w:keepNext/>
        <w:spacing w:line="240" w:lineRule="auto" w:after="120"/>
      </w:pPr>
      <w:r>
        <w:rPr>
          <w:i/>
        </w:rPr>
        <w:t>Cálculo del valor y la criticidad de cada activo</w:t>
      </w:r>
    </w:p>
    <w:tbl>
      <w:tblPr>
        <w:jc w:val="center"/>
        <w:tblLayout w:type="fixed"/>
        <w:tblLook w:firstColumn="1" w:firstRow="1" w:lastColumn="0" w:lastRow="0" w:noHBand="0" w:noVBand="1" w:val="04A0"/>
        <w:tblLayout w:type="fixed"/>
        <w:tblW w:w="9360" w:type="dxa"/>
      </w:tblPr>
      <w:tblGrid>
        <w:gridCol w:w="700"/>
        <w:gridCol w:w="3060"/>
        <w:gridCol w:w="1200"/>
        <w:gridCol w:w="450"/>
        <w:gridCol w:w="450"/>
        <w:gridCol w:w="450"/>
        <w:gridCol w:w="1700"/>
        <w:gridCol w:w="135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w:t>
            </w:r>
          </w:p>
        </w:tc>
        <w:tc>
          <w:tcPr>
            <w:tcW w:type="dxa" w:w="30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Activo</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Tipo</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I</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D</w:t>
            </w:r>
          </w:p>
        </w:tc>
        <w:tc>
          <w:tcPr>
            <w:tcW w:type="dxa" w:w="1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Cálculo</w:t>
            </w:r>
          </w:p>
        </w:tc>
        <w:tc>
          <w:tcPr>
            <w:tcW w:type="dxa" w:w="13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Criticidad</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Datos personales de clientes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Saldos y movimientos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Credenciales y tokens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PIN de transacción (hash)</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Registros de auditoría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Llaves KMS (CMK)</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Secretos de configuración (SSM)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Código fuente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Estado de Terraform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App Android Q-Wallet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Microservicios Lambda (5)</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API Gateway REST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Cognito User Pool</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DynamoDB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Imágenes de contenedor (ECR)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Pipeline CI/CD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Dependencias npm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Dispositivo móvil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Estaciones de trabajo del equipo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Infraestructura física AWS us-east-1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Equipo de desarrollo / DevSecOps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 de soporte (admins)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+ 1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AWS (proveedor cloud)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GitHub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 de correo de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Reputación de la marca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Alineación regulatoria (referencia JM-104-2021)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+ 2 + 1 = 4</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ACT-28</w:t>
            </w:r>
          </w:p>
        </w:tc>
        <w:tc>
          <w:tcPr>
            <w:tcW w:type="dxa" w:w="30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SIEM Wazuh</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bl>
    <w:p>
      <w:pPr>
        <w:spacing w:line="240" w:lineRule="auto" w:before="80" w:after="240"/>
        <w:jc w:val="both"/>
      </w:pPr>
      <w:r>
        <w:rPr>
          <w:i/>
          <w:sz w:val="20"/>
        </w:rPr>
        <w:t xml:space="preserve">Nota. </w:t>
      </w:r>
      <w:r>
        <w:rPr>
          <w:sz w:val="20"/>
        </w:rPr>
        <w:t>Elaboración propia. Valor = C + I + D; 8–9 Crítica, 6–7 Alta, 4–5 Media, 3 Baja.</w:t>
      </w:r>
    </w:p>
    <w:p>
      <w:pPr>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240" w:line="240" w:lineRule="auto"/>
      </w:pPr>
      <w:r>
        <w:rPr>
          <w:b/>
        </w:rPr>
        <w:t>Tabla 15</w:t>
      </w:r>
    </w:p>
    <w:p>
      <w:pPr>
        <w:keepNext/>
        <w:spacing w:line="240" w:lineRule="auto" w:after="120"/>
      </w:pPr>
      <w:r>
        <w:rPr>
          <w:i/>
        </w:rPr>
        <w:t>Distribución de activos por tipo y criticidad</w:t>
      </w:r>
    </w:p>
    <w:tbl>
      <w:tblPr>
        <w:jc w:val="center"/>
        <w:tblLayout w:type="fixed"/>
        <w:tblLook w:firstColumn="1" w:firstRow="1" w:lastColumn="0" w:lastRow="0" w:noHBand="0" w:noVBand="1" w:val="04A0"/>
        <w:tblLayout w:type="fixed"/>
        <w:tblW w:w="9360" w:type="dxa"/>
      </w:tblPr>
      <w:tblGrid>
        <w:gridCol w:w="2860"/>
        <w:gridCol w:w="1300"/>
        <w:gridCol w:w="1300"/>
        <w:gridCol w:w="1300"/>
        <w:gridCol w:w="1300"/>
        <w:gridCol w:w="1300"/>
      </w:tblGrid>
      <w:tr>
        <w:trPr>
          <w:cantSplit/>
          <w:tblHeader/>
        </w:trPr>
        <w:tc>
          <w:tcPr>
            <w:tcW w:type="dxa" w:w="2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8"/>
              </w:rPr>
              <w:t>Tipo de activo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Crítica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Alta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Media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Baja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Total</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Información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6</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5</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Físico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Personal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Servicios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Empresa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8"/>
              </w:rPr>
              <w:t>Total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11</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13</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4</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28</w:t>
            </w:r>
          </w:p>
        </w:tc>
      </w:tr>
    </w:tbl>
    <w:p>
      <w:pPr>
        <w:spacing w:line="240" w:lineRule="auto" w:before="80" w:after="240"/>
        <w:jc w:val="both"/>
      </w:pPr>
      <w:r>
        <w:rPr>
          <w:i/>
          <w:sz w:val="20"/>
        </w:rPr>
        <w:t xml:space="preserve">Nota. </w:t>
      </w:r>
      <w:r>
        <w:rPr>
          <w:sz w:val="20"/>
        </w:rPr>
        <w:t>Elaboración propia a partir de la Tabla 14.</w:t>
      </w:r>
    </w:p>
    <w:p>
      <w:pPr>
        <w:pStyle w:val="Heading2"/>
      </w:pPr>
      <w:r>
        <w:t>2.3 Modelado de amenazas STRIDE</w:t>
      </w:r>
    </w:p>
    <w:p>
      <w:pPr>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240" w:line="240" w:lineRule="auto"/>
      </w:pPr>
      <w:r>
        <w:rPr>
          <w:b/>
        </w:rPr>
        <w:t>Figura 2</w:t>
      </w:r>
    </w:p>
    <w:p>
      <w:pPr>
        <w:keepNext/>
        <w:spacing w:line="240" w:lineRule="auto" w:after="120"/>
      </w:pPr>
      <w:r>
        <w:rPr>
          <w:i/>
        </w:rPr>
        <w:t>Diagrama de flujo de datos de nivel 0 (contexto) de Q-Wallet</w:t>
      </w:r>
    </w:p>
    <w:p>
      <w:pPr>
        <w:keepNext/>
        <w:spacing w:line="240" w:lineRule="auto" w:before="120" w:after="120"/>
        <w:ind w:firstLine="0"/>
        <w:jc w:val="center"/>
      </w:pPr>
      <w:r>
        <w:drawing>
          <wp:inline distT="0" distB="0" distL="0" distR="0">
            <wp:extent cx="5760720" cy="2422483"/>
            <wp:effectExtent l="0" t="0" r="0" b="0"/>
            <wp:docPr id="11"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240" w:lineRule="auto" w:before="80" w:after="240"/>
        <w:jc w:val="both"/>
        <w:sectPr>
          <w:pgSz w:w="12240" w:h="15840"/>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keepNext/>
        <w:spacing w:before="240" w:line="240" w:lineRule="auto"/>
      </w:pPr>
      <w:r>
        <w:rPr>
          <w:b/>
        </w:rPr>
        <w:t>Figura 3</w:t>
      </w:r>
    </w:p>
    <w:p>
      <w:pPr>
        <w:keepNext/>
        <w:spacing w:line="240" w:lineRule="auto" w:after="120"/>
      </w:pPr>
      <w:r>
        <w:rPr>
          <w:i/>
        </w:rPr>
        <w:t>Diagrama de flujo de datos de nivel 1 con las fronteras de confianza TB1 a TB6</w:t>
      </w:r>
    </w:p>
    <w:p>
      <w:pPr>
        <w:keepNext/>
        <w:spacing w:line="240" w:lineRule="auto" w:before="120" w:after="120"/>
        <w:ind w:firstLine="0"/>
        <w:jc w:val="center"/>
      </w:pPr>
      <w:r>
        <w:drawing>
          <wp:inline distT="0" distB="0" distL="0" distR="0">
            <wp:extent cx="8229600" cy="3972910"/>
            <wp:effectExtent l="0" t="0" r="0" b="0"/>
            <wp:docPr id="12"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240" w:lineRule="auto" w:before="80" w:after="240"/>
        <w:jc w:val="both"/>
      </w:pPr>
      <w:r>
        <w:rPr>
          <w:i/>
          <w:sz w:val="20"/>
        </w:rPr>
        <w:t xml:space="preserve">Nota. </w:t>
      </w:r>
      <w:r>
        <w:rPr>
          <w:sz w:val="20"/>
        </w:rPr>
        <w:t>Elaboración propia en OWASP Threat Dragon 2.6.2, modelo de amenazas T2 versión 2.</w:t>
      </w:r>
    </w:p>
    <w:p>
      <w:pPr>
        <w:keepNext/>
        <w:spacing w:before="240" w:line="240" w:lineRule="auto"/>
      </w:pPr>
      <w:r>
        <w:rPr>
          <w:b/>
        </w:rPr>
        <w:t>Figura 4</w:t>
      </w:r>
    </w:p>
    <w:p>
      <w:pPr>
        <w:keepNext/>
        <w:spacing w:line="240" w:lineRule="auto" w:after="120"/>
      </w:pPr>
      <w:r>
        <w:rPr>
          <w:i/>
        </w:rPr>
        <w:t>Diagrama de flujo de datos de nivel 2 de la transferencia P2P (svc-transfers)</w:t>
      </w:r>
    </w:p>
    <w:p>
      <w:pPr>
        <w:keepNext/>
        <w:spacing w:line="240" w:lineRule="auto" w:before="120" w:after="120"/>
        <w:ind w:firstLine="0"/>
        <w:jc w:val="center"/>
      </w:pPr>
      <w:r>
        <w:drawing>
          <wp:inline distT="0" distB="0" distL="0" distR="0">
            <wp:extent cx="8229600" cy="4124248"/>
            <wp:effectExtent l="0" t="0" r="0" b="0"/>
            <wp:docPr id="13"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240" w:lineRule="auto" w:before="80" w:after="240"/>
        <w:jc w:val="both"/>
        <w:sectPr>
          <w:pgSz w:w="15840" w:h="12240" w:orient="landscape"/>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Foundation, s. f.) para la aplicación móvil.</w:t>
      </w:r>
    </w:p>
    <w:p>
      <w:pPr>
        <w:keepNext/>
        <w:spacing w:before="240" w:line="240" w:lineRule="auto"/>
      </w:pPr>
      <w:r>
        <w:rPr>
          <w:b/>
        </w:rPr>
        <w:t>Tabla 16</w:t>
      </w:r>
    </w:p>
    <w:p>
      <w:pPr>
        <w:keepNext/>
        <w:spacing w:line="240" w:lineRule="auto" w:after="120"/>
      </w:pPr>
      <w:r>
        <w:rPr>
          <w:i/>
        </w:rPr>
        <w:t>Distribución de amenazas por categoría STRIDE</w:t>
      </w:r>
    </w:p>
    <w:tbl>
      <w:tblPr>
        <w:jc w:val="center"/>
        <w:tblLayout w:type="fixed"/>
        <w:tblLook w:firstColumn="1" w:firstRow="1" w:lastColumn="0" w:lastRow="0" w:noHBand="0" w:noVBand="1" w:val="04A0"/>
        <w:tblLayout w:type="fixed"/>
        <w:tblW w:w="9360" w:type="dxa"/>
      </w:tblPr>
      <w:tblGrid>
        <w:gridCol w:w="2900"/>
        <w:gridCol w:w="1100"/>
        <w:gridCol w:w="5360"/>
      </w:tblGrid>
      <w:tr>
        <w:trPr>
          <w:cantSplit/>
          <w:tblHeader/>
        </w:trPr>
        <w:tc>
          <w:tcPr>
            <w:tcW w:type="dxa" w:w="2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Categoría STRIDE</w:t>
            </w:r>
          </w:p>
        </w:tc>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Amenazas</w:t>
            </w:r>
          </w:p>
        </w:tc>
        <w:tc>
          <w:tcPr>
            <w:tcW w:type="dxa" w:w="5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Identificadores</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Divulgación de información (I)</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AME-06, AME-08, AME-09, AME-10, AME-14, AME-17, AME-20, AME-25, AME-26, AME-27, AME-30, AME-34, AME-41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Manipulación (T)</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9</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AME-05, AME-07, AME-12, AME-22, AME-32, AME-33, AME-35, AME-36, AME-39</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Suplantación (S)</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6</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AME-02, AME-03, AME-04, AME-15, AME-16, AME-38</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Denegación de servicio (D)</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AME-01, AME-11, AME-18, AME-28, AME-31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Elevación de privilegios (E)</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AME-13, AME-19, AME-21, AME-23, AME-37</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Repudio (R)</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AME-24, AME-29, AME-40</w:t>
            </w:r>
          </w:p>
        </w:tc>
      </w:tr>
      <w:tr>
        <w:trPr>
          <w:cantSplit/>
        </w:trPr>
        <w:tc>
          <w:tcPr>
            <w:tcW w:type="dxa" w:w="2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Total</w:t>
            </w:r>
          </w:p>
        </w:tc>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41</w:t>
            </w:r>
          </w:p>
        </w:tc>
        <w:tc>
          <w:tcPr>
            <w:tcW w:type="dxa" w:w="5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r>
          </w:p>
        </w:tc>
      </w:tr>
    </w:tbl>
    <w:p>
      <w:pPr>
        <w:spacing w:line="240" w:lineRule="auto" w:before="80" w:after="240"/>
        <w:jc w:val="both"/>
      </w:pPr>
      <w:r>
        <w:rPr>
          <w:i/>
          <w:sz w:val="20"/>
        </w:rPr>
        <w:t xml:space="preserve">Nota. </w:t>
      </w:r>
      <w:r>
        <w:rPr>
          <w:sz w:val="20"/>
        </w:rPr>
        <w:t>Elaboración propia a partir del modelo de amenazas T2.</w:t>
      </w:r>
    </w:p>
    <w:p>
      <w:pPr>
        <w:sectPr>
          <w:pgSz w:w="12240" w:h="15840"/>
          <w:pgMar w:top="1440" w:right="1440" w:bottom="1440" w:left="1440" w:header="720" w:footer="720" w:gutter="0"/>
          <w:cols w:space="720"/>
          <w:docGrid w:linePitch="360"/>
        </w:sectPr>
      </w:pPr>
    </w:p>
    <w:p>
      <w:pPr>
        <w:keepNext/>
        <w:spacing w:before="240" w:line="240" w:lineRule="auto"/>
      </w:pPr>
      <w:r>
        <w:rPr>
          <w:b/>
        </w:rPr>
        <w:t>Tabla 17</w:t>
      </w:r>
    </w:p>
    <w:p>
      <w:pPr>
        <w:keepNext/>
        <w:spacing w:line="240" w:lineRule="auto" w:after="120"/>
      </w:pPr>
      <w:r>
        <w:rPr>
          <w:i/>
        </w:rPr>
        <w:t>Catálogo de amenazas STRIDE de Q-Wallet</w:t>
      </w:r>
    </w:p>
    <w:tbl>
      <w:tblPr>
        <w:jc w:val="center"/>
        <w:tblLayout w:type="fixed"/>
        <w:tblLook w:firstColumn="1" w:firstRow="1" w:lastColumn="0" w:lastRow="0" w:noHBand="0" w:noVBand="1" w:val="04A0"/>
        <w:tblLayout w:type="fixed"/>
        <w:tblW w:w="12950" w:type="dxa"/>
      </w:tblPr>
      <w:tblGrid>
        <w:gridCol w:w="650"/>
        <w:gridCol w:w="2600"/>
        <w:gridCol w:w="850"/>
        <w:gridCol w:w="1500"/>
        <w:gridCol w:w="4600"/>
        <w:gridCol w:w="1200"/>
        <w:gridCol w:w="1550"/>
      </w:tblGrid>
      <w:tr>
        <w:trPr>
          <w:cantSplit/>
          <w:tblHeader/>
        </w:trPr>
        <w:tc>
          <w:tcPr>
            <w:tcW w:type="dxa" w:w="6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Elemento o flujo del DFD</w:t>
            </w:r>
          </w:p>
        </w:tc>
        <w:tc>
          <w:tcPr>
            <w:tcW w:type="dxa" w:w="8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Frontera</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STRIDE</w:t>
            </w:r>
          </w:p>
        </w:tc>
        <w:tc>
          <w:tcPr>
            <w:tcW w:type="dxa" w:w="4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Descripción</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Activos</w:t>
            </w:r>
          </w:p>
        </w:tc>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Control (CTRL)</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0: Sistema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 Una falla de los centros de datos de AWS en us-east-1 deja sin servicio a toda la billetera, porque el despliegue es de una sola región.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ACT-20,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Cliente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 Un tercero con el teléfono desbloqueado intenta operar la sesión abierta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ACT-18, ACT-03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Administrador de soporte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 Un atacante convence a un administrador de bloquear o desbloquear cuentas haciéndose pasar por el cliente o por la gerencia.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«OAuth2 code + PKCE / tokens» (App Android Q-Wallet →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 El atacante obtiene usuario y contraseña con una página falsa e inicia sesión como 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 Con un proxy y un certificado instalado en el dispositivo se altera el monto o el destinatario antes de llegar a API Gateway.</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 La misma posición intermedia permite leer el JWT y las respuestas con saldo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 CTRL-03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 Con Frida u objection se modifica la lógica del cliente para saltar el desbloqueo biométrico o alterar validaciones locales.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 Una llave o credencial incluida en el paquete puede extraerse con apktool por cualquier persona que descargue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 Otra app o el selector de tareas del sistema registran la pantalla con saldo, PIN o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Android Keystore (expo-secure-store)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 En un dispositivo con root o malware se intenta leer los tokens guardados por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 Un volumen alto de solicitudes agota el throttling y genera costo de invocaciones en la cuenta.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CTRL-17,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 Cargas de inyección o tipos inesperados en el cuerpo, la ruta o los parámetros buscan alterar las consultas o el flujo del handler.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CTRL-17</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 Un error en Terraform deja un método con autorización NONE y expone el servicio sin autenticación.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 Las respuestas de error devuelven trazas, nombres de tablas o estructuras internas que orientan al atacante.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 Listas de credenciales filtradas en otros servicios se prueban de forma automatizada contra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 Se modifica el payload del token, se cambia el algoritmo o se reutiliza un token vencido para suplantar a otro usuario.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 El cliente cambia el accountId en la ruta y obtiene movimientos de otra persona.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 Un parámetro limit muy alto obliga a leer miles de registros por solicitud y degrada el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«Lectura/escritura» (svc-accounts →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 Si un servicio es comprometido y su rol permite acceso a todas las tablas, el atacante lee o modifica datos ajenos a ese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 Recorriendo números en /users/search se confirma quién usa Q-Wallet y se obtienen nombres y datos asociados.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CTRL-03,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 El cliente agrega campos como role o status al cuerpo de la solicitud para elevar su nivel de acceso.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svc-budgets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 Con el identificador de un presupuesto ajeno se ejecuta PUT /budgets sobre datos de otro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 CTRL-04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 Un cliente autenticado invoca endpoints administrativos para listar o bloquear usuarios.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 Un administrador bloquea cuentas o consulta auditoría y luego niega haberlo hecho.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«Logs JSON (todas las Lambdas)» (svc-admin →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 Un log de depuración registra el JWT, el DPI o el teléfono y cualquiera con acceso a CloudWatch puede leerlo.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 Una exportación o respaldo de tablas accesible fuera del servicio expone saldos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ACT-14, 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CTRL-19, 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SSM Parameter Store (SecureString)</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 Un rol con permisos amplios sobre SSM obtiene parámetros de otros servicios.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 Con credenciales de administración de la cuenta se deshabilita la llave y los datos cifrados quedan inaccesibles.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ACT-06,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 Un atacante con acceso a la cuenta detiene CloudTrail o borra objetos del bucket de registros.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 Un bucket sin Block Public Access expone registros de la cuenta o el estado de Terraform con atributos sensibles.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ACT-09, 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Wazuh SIEM (Docker local)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 Wazuh corre en Docker en una estación del equipo; si está apagado o comprometido no se generan alertas.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ACT-28, ACT-19</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«Imagen y despliegue (OIDC)» (GitHub Actions →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 Una Action de terceros alterada o un cambio no revisado en main despliega código malicioso en AWS.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ACT-16,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CTRL-21, 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 Un paquete con una vulnerabilidad conocida o código malicioso entra a la app o a un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ACT-17, ACT-10,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 Un secreto que se suba en cualquier commit queda visible para todo Internet aunque luego se borre del archivo.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ACT-08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 CTRL-21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 Una imagen base sin fijar o modificada en ECR ejecuta componentes no revisados con el rol de la Lambda.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ACT-15,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2.1 Validación zod .strict()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 El cliente envía un monto negativo, con decimales o mayor al permitido para invertir la dirección del dinero o provocar errores de cálculo.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2.2 Autorización de objeto</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 El cliente indica en la solicitud una cuenta origen que no le pertenece.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2.3 Verificación del PIN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 Con un token válido se prueban PIN de forma automatizada hasta autorizar una transferencia.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ACT-04,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2.5 Escritura transaccional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 Varias solicitudes simultáneas con el mismo saldo pasan la validación antes de que se descuente el primero.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2.6 Registro de auditoría</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 Sin registro del sub, el PIN validado, la Idempotency-Key y la hora, el cliente puede negar la operación.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 CTRL-02</w:t>
            </w:r>
          </w:p>
        </w:tc>
      </w:tr>
      <w:tr>
        <w:trPr>
          <w:cantSplit/>
        </w:trPr>
        <w:tc>
          <w:tcPr>
            <w:tcW w:type="dxa" w:w="6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2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Nivel 1: Flujo «Eventos para correlación» (CloudWatch Logs / CloudTrail -&gt; S3 → Wazuh SIEM (Docker local))</w:t>
            </w:r>
          </w:p>
        </w:tc>
        <w:tc>
          <w:tcPr>
            <w:tcW w:type="dxa" w:w="8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TB4, TB6</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ACT-05, ACT-28, ACT-19</w:t>
            </w:r>
          </w:p>
        </w:tc>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CTRL-12, CTRL-16, CTRL-20</w:t>
            </w:r>
          </w:p>
        </w:tc>
      </w:tr>
    </w:tbl>
    <w:p>
      <w:pPr>
        <w:spacing w:line="240" w:lineRule="auto" w:before="80" w:after="240"/>
        <w:jc w:val="both"/>
      </w:pPr>
      <w:r>
        <w:rPr>
          <w:i/>
          <w:sz w:val="20"/>
        </w:rPr>
        <w:t xml:space="preserve">Nota. </w:t>
      </w:r>
      <w:r>
        <w:rPr>
          <w:sz w:val="20"/>
        </w:rPr>
        <w:t>Elaboración propia a partir del modelo de amenazas T2 en OWASP Threat Dragon. Los controles CTRL-01 a CTRL-22 se describen en la sección 1.5 (Tabla 9). AME-03 no tiene un control técnico que cubra la decisión humana; se propone capacitación en el roadmap. AME-41 cruza dos fronteras porque las credenciales del SIEM local (TB6) leen los registros de AWS (TB4).</w:t>
      </w:r>
    </w:p>
    <w:p>
      <w:pPr>
        <w:sectPr>
          <w:pgSz w:w="15840" w:h="12240" w:orient="landscape"/>
          <w:pgMar w:top="1440" w:right="1440" w:bottom="1440" w:left="1440" w:header="720" w:footer="720" w:gutter="0"/>
          <w:cols w:space="720"/>
          <w:docGrid w:linePitch="360"/>
        </w:sectPr>
      </w:pPr>
    </w:p>
    <w:p>
      <w:pPr>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240" w:line="240" w:lineRule="auto"/>
      </w:pPr>
      <w:r>
        <w:rPr>
          <w:b/>
        </w:rPr>
        <w:t>Tabla 18</w:t>
      </w:r>
    </w:p>
    <w:p>
      <w:pPr>
        <w:keepNext/>
        <w:spacing w:line="240" w:lineRule="auto" w:after="120"/>
      </w:pPr>
      <w:r>
        <w:rPr>
          <w:i/>
        </w:rPr>
        <w:t>Categorías STRIDE revisadas y justificadas como no aplicables</w:t>
      </w:r>
    </w:p>
    <w:tbl>
      <w:tblPr>
        <w:jc w:val="center"/>
        <w:tblLayout w:type="fixed"/>
        <w:tblLook w:firstColumn="1" w:firstRow="1" w:lastColumn="0" w:lastRow="0" w:noHBand="0" w:noVBand="1" w:val="04A0"/>
        <w:tblLayout w:type="fixed"/>
        <w:tblW w:w="9360" w:type="dxa"/>
      </w:tblPr>
      <w:tblGrid>
        <w:gridCol w:w="3300"/>
        <w:gridCol w:w="1900"/>
        <w:gridCol w:w="2560"/>
        <w:gridCol w:w="1600"/>
      </w:tblGrid>
      <w:tr>
        <w:trPr>
          <w:cantSplit/>
          <w:tblHeader/>
        </w:trPr>
        <w:tc>
          <w:tcPr>
            <w:tcW w:type="dxa" w:w="3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Elemento o flujo</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STRIDE</w:t>
            </w:r>
          </w:p>
        </w:tc>
        <w:tc>
          <w:tcPr>
            <w:tcW w:type="dxa" w:w="25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Amenaza considerada</w:t>
            </w:r>
          </w:p>
        </w:tc>
        <w:tc>
          <w:tcPr>
            <w:tcW w:type="dxa" w:w="1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Cubierta por</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Amenazas de svc-transfers detalladas en el Nivel 2</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 AME-40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«Credenciales, PIN, transferencias» (Cliente → App Android Q-Wallet)</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Captura de credenciales y PIN en la entrada local</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 AME-07, AME-09, AME-10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«/admin/* con JWT admins» (Administrador de soporte → AWS WAF)</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Intercepción del token del administrador</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 AME-23, 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svc-profile)</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svc-accounts)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svc-budgets)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svc-admin)</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«Parámetros (todas las Lambdas)» (svc-transfers (ver Nivel 2) → SSM Parameter Store (SecureString))</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Lectura de parámetros en tránsito hacia SSM</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 AME-08, AME-34</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2.4 Control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Repetición de solicitudes en el control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perfil y PIN (hash, intentos)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Exposición del hash del PIN o alteración del contador de intentos</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AME-38</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claves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Denegación de servicio (D)</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Llenado masivo de claves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cuentas, saldos y transferencias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directa de saldos en la tabla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AME-36, AME-37, AME-39</w:t>
            </w:r>
          </w:p>
        </w:tc>
      </w:tr>
      <w:tr>
        <w:trPr>
          <w:cantSplit/>
        </w:trPr>
        <w:tc>
          <w:tcPr>
            <w:tcW w:type="dxa" w:w="3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Nivel 2: CloudWatch Logs</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Repudio (R)</w:t>
            </w:r>
          </w:p>
        </w:tc>
        <w:tc>
          <w:tcPr>
            <w:tcW w:type="dxa" w:w="25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Alteración del registro de auditoría</w:t>
            </w:r>
          </w:p>
        </w:tc>
        <w:tc>
          <w:tcPr>
            <w:tcW w:type="dxa" w:w="1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AME-25, AME-29</w:t>
            </w:r>
          </w:p>
        </w:tc>
      </w:tr>
    </w:tbl>
    <w:p>
      <w:pPr>
        <w:spacing w:line="240" w:lineRule="auto" w:before="80" w:after="240"/>
        <w:jc w:val="both"/>
      </w:pPr>
      <w:r>
        <w:rPr>
          <w:i/>
          <w:sz w:val="20"/>
        </w:rPr>
        <w:t xml:space="preserve">Nota. </w:t>
      </w:r>
      <w:r>
        <w:rPr>
          <w:sz w:val="20"/>
        </w:rPr>
        <w:t>Elaboración propia a partir de las justificaciones registradas en el modelo de amenazas T2.</w:t>
      </w:r>
    </w:p>
    <w:p>
      <w:pPr>
        <w:pStyle w:val="Heading2"/>
      </w:pPr>
      <w:r>
        <w:t>2.4 Valoración DREAD</w:t>
      </w:r>
    </w:p>
    <w:p>
      <w:pPr>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CTRL-22 está presente. La Tabla 19 resume los criterios que aplicamos en cada factor.</w:t>
      </w:r>
    </w:p>
    <w:p>
      <w:pPr>
        <w:keepNext/>
        <w:spacing w:before="240" w:line="240" w:lineRule="auto"/>
      </w:pPr>
      <w:r>
        <w:rPr>
          <w:b/>
        </w:rPr>
        <w:t>Tabla 19</w:t>
      </w:r>
    </w:p>
    <w:p>
      <w:pPr>
        <w:keepNext/>
        <w:spacing w:line="240" w:lineRule="auto" w:after="120"/>
      </w:pPr>
      <w:r>
        <w:rPr>
          <w:i/>
        </w:rPr>
        <w:t>Criterios de valoración de los factores DREAD</w:t>
      </w:r>
    </w:p>
    <w:tbl>
      <w:tblPr>
        <w:jc w:val="center"/>
        <w:tblLayout w:type="fixed"/>
        <w:tblLook w:firstColumn="1" w:firstRow="1" w:lastColumn="0" w:lastRow="0" w:noHBand="0" w:noVBand="1" w:val="04A0"/>
        <w:tblLayout w:type="fixed"/>
        <w:tblW w:w="9360" w:type="dxa"/>
      </w:tblPr>
      <w:tblGrid>
        <w:gridCol w:w="1800"/>
        <w:gridCol w:w="2520"/>
        <w:gridCol w:w="2520"/>
        <w:gridCol w:w="2520"/>
      </w:tblGrid>
      <w:tr>
        <w:trPr>
          <w:cantSplit/>
          <w:tblHeader/>
        </w:trPr>
        <w:tc>
          <w:tcPr>
            <w:tcW w:type="dxa" w:w="1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Factor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1 a 3</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4 a 6</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7 a 10</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 – Daño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Orienta al atacante o expone datos de bajo valor</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Expone datos de un usuario o degrada un servicio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Mueve dinero, suplanta identidades o compromete la plataforma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 – Reproducibilidad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 de condiciones raras o de un tercero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con condiciones específicas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siempre con la misma solicitud</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 – Explotabilidad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acceso privilegiado a la cuenta AWS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herramientas o acceso físico al dispositivo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Basta un cliente HTTP o una cuenta propia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 – Usuarios afectados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usuario o un caso aislado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grupo de usuarios o un rol</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Todos los clientes o toda la plataforma</w:t>
            </w:r>
          </w:p>
        </w:tc>
      </w:tr>
      <w:tr>
        <w:trPr>
          <w:cantSplit/>
        </w:trPr>
        <w:tc>
          <w:tcPr>
            <w:tcW w:type="dxa" w:w="18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Di – Descubrimiento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conocimiento interno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análisis o pruebas dirigidas</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Visible con herramientas públicas o a simple vista</w:t>
            </w:r>
          </w:p>
        </w:tc>
      </w:tr>
    </w:tbl>
    <w:p>
      <w:pPr>
        <w:spacing w:line="240" w:lineRule="auto" w:before="80" w:after="240"/>
        <w:jc w:val="both"/>
      </w:pPr>
      <w:r>
        <w:rPr>
          <w:i/>
          <w:sz w:val="20"/>
        </w:rPr>
        <w:t xml:space="preserve">Nota. </w:t>
      </w:r>
      <w:r>
        <w:rPr>
          <w:sz w:val="20"/>
        </w:rPr>
        <w:t>Elaboración propia con base en los factores definidos por Howard y LeBlanc (2003).</w:t>
      </w:r>
    </w:p>
    <w:p>
      <w:pPr>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240" w:line="240" w:lineRule="auto"/>
      </w:pPr>
      <w:r>
        <w:rPr>
          <w:b/>
        </w:rPr>
        <w:t>Tabla 20</w:t>
      </w:r>
    </w:p>
    <w:p>
      <w:pPr>
        <w:keepNext/>
        <w:spacing w:line="240" w:lineRule="auto" w:after="120"/>
      </w:pPr>
      <w:r>
        <w:rPr>
          <w:i/>
        </w:rPr>
        <w:t>Valoración DREAD inherente por amenaza</w:t>
      </w:r>
    </w:p>
    <w:tbl>
      <w:tblPr>
        <w:jc w:val="center"/>
        <w:tblLayout w:type="fixed"/>
        <w:tblLook w:firstColumn="1" w:firstRow="1" w:lastColumn="0" w:lastRow="0" w:noHBand="0" w:noVBand="1" w:val="04A0"/>
        <w:tblLayout w:type="fixed"/>
        <w:tblW w:w="9360" w:type="dxa"/>
      </w:tblPr>
      <w:tblGrid>
        <w:gridCol w:w="680"/>
        <w:gridCol w:w="1840"/>
        <w:gridCol w:w="330"/>
        <w:gridCol w:w="330"/>
        <w:gridCol w:w="330"/>
        <w:gridCol w:w="330"/>
        <w:gridCol w:w="360"/>
        <w:gridCol w:w="700"/>
        <w:gridCol w:w="800"/>
        <w:gridCol w:w="3660"/>
      </w:tblGrid>
      <w:tr>
        <w:trPr>
          <w:cantSplit/>
          <w:tblHeader/>
        </w:trPr>
        <w:tc>
          <w:tcPr>
            <w:tcW w:type="dxa" w:w="6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184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Amenaza</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R</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E</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A</w:t>
            </w:r>
          </w:p>
        </w:tc>
        <w:tc>
          <w:tcPr>
            <w:tcW w:type="dxa" w:w="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Di</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Puntaje</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Prioridad</w:t>
            </w:r>
          </w:p>
        </w:tc>
        <w:tc>
          <w:tcPr>
            <w:tcW w:type="dxa" w:w="3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Justificación</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Daño alto (D8) que alcanza a todos los usuarios (A10), pero depende de una falla de AWS que el atacante no provoca (R2, E1, Di1).</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tener el teléfono desbloqueado (R6, E5); puede vaciar la cuenta (D7) pero solo de una víctima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 de persuadir a una persona, no de una falla técnica (R5, E6); afecta cuentas puntuales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 phishing es barato y conocido (R8, Di8); con la cuenta tomada se mueve dinero (D9) y la técnica escala a muchos clientes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Altera monto o destino (D9), pero exige proxy y certificado instalado en el dispositivo (R5, E5).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Expone el JWT y datos personales (D8) desde la misma posición intermedia (E5); las herramientas públicas facilitan descubrirlo (Di7).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Frida y objection son públicas (R6, Di7), pero requieren root o reempaquetado (E5); el impacto queda en el cliente atacado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Extraer el APK con apktool es trivial y repetible (R9, E7); una llave expuesta afecta al backend de todos (D8,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Capturar la pantalla es muy fácil (E9, R8), pero solo expone lo visible de un usuario (D4,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root o malware en el equipo (R5, E5); los tokens dan acceso a la cuenta (D8) de una víctima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Generar volumen es fácil y repetible (R9, E8, Di9) y afecta a todos los usuarios y al costo (A10); no compromete datos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cargas de inyección son conocidas y automatizables (R6, Di7); un fallo alcanzaría todos los registros del servicio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error de Terraform sin revisión es probable (R8) y deja el servicio sin autenticación (D9, A10); descubrirlo exige probar rutas (Di5).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Provocar un error es trivial (R9, E8, Di9), pero solo orienta al atacante; no causa daño directo (D3).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listas filtradas y la automatización abundan (R9, E8, Di9); alcanza a todos los que reutilizan contraseñas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Suplantar a cualquier usuario sería grave (D9, A9), pero romper la validación del JWT es difícil (E4, R5).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el accountId es trivial y repetible (R10, E9) y permite recorrer todas las cuentas (A10) con datos financieros (D8).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limit alto es fácil de probar (R8, E7); degrada el servicio pero no expone datos (D4).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Solo se explota tras comprometer una Lambda (R4, E3), pero un rol amplio expone todas las tablas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Recorrer números es trivial (R10, E9) y revela quién usa la billetera (A8); expone pocos datos por usuario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Agregar campos al cuerpo es fácil (R9, E7); elevarse a administrador compromete toda la plataforma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Repetir con otro identificador es trivial (R10, E9), pero son presupuestos, no dinero (D3,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Invocar /admin/* con un token de cliente es directo (R10, E8) y permite listar o bloquear a todos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acción es sencillo (E7) y entorpece la gestión de incidentes (D6); se limita a los administradores (A5, Di4).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log de depuración se repite en cada solicitud (R8) y alcanza a muchos usuarios (A8); leerlo exige acceso a CloudWatch (E4).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Afectaría a todos los clientes (D8, A10), pero exige acceso a la cuenta o una exportación mal configurada (R3, E3, Di3).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un rol amplio ya comprometido (R4, E3); los secretos abren otros servicios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credenciales de administración de la cuenta (R3, E3), pero deja inaccesibles todos los datos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acceso privilegiado a la cuenta (R4, E4); el daño es la pérdida de trazabilidad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bucket público es un error común y fácil de hallar con escáneres (R8, E8, Di7); expone registros de toda la cuenta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equipo apagado es frecuente (R6) y deja sin alertas a la organización (A6); no expone datos por sí mismo (D5).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una Action o saltar la revisión (R5, E4), pero el código corre con permisos de producción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vulnerabilidades se publican y explotan rápido (R7, E6); un paquete afecta a la app o a todos los servicios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 un repositorio público el secreto queda expuesto de inmediato (R10, E9, Di10) y compromete la cuenta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ECR o usar una base sin fijar (R5, E4); la imagen corre con el rol de la Lambda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Enviar un monto negativo es trivial (R9, E7) y podría invertir la dirección del dinero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la cuenta origen es trivial (R9, E8) y permite vaciar cuentas ajenas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 un token válido se automatizan los intentos (R9, E7); el daño es alto (D8) pero en una cuenta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solicitudes simultáneas requieren un script (R6, E5) y generan dinero inexistente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operación es sencillo (R7, E6) y genera disputas (D5) en casos individuales (A3).</w:t>
            </w:r>
          </w:p>
        </w:tc>
      </w:tr>
      <w:tr>
        <w:trPr>
          <w:cantSplit/>
        </w:trPr>
        <w:tc>
          <w:tcPr>
            <w:tcW w:type="dxa" w:w="6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184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Requiere comprometer antes la estación local (R4, E4); las llaves permiten leer registros de toda la cuenta (D5).</w:t>
            </w:r>
          </w:p>
        </w:tc>
      </w:tr>
    </w:tbl>
    <w:p>
      <w:pPr>
        <w:spacing w:line="240" w:lineRule="auto" w:before="80" w:after="240"/>
        <w:jc w:val="both"/>
      </w:pPr>
      <w:r>
        <w:rPr>
          <w:i/>
          <w:sz w:val="20"/>
        </w:rPr>
        <w:t xml:space="preserve">Nota. </w:t>
      </w:r>
      <w:r>
        <w:rPr>
          <w:sz w:val="20"/>
        </w:rPr>
        <w:t>Elaboración propia a partir del modelo de amenazas T2. Puntaje = (D + R + E + A + Di) / 5; ≥ 7 Alta, 4–6.9 Media, &lt; 4 Baja. Resultado: 15 amenazas de prioridad Alta, 26 Media y 0 Baja.</w:t>
      </w:r>
    </w:p>
    <w:p>
      <w:pPr>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pPr>
      <w:r>
        <w:t>2.5 Matriz de riesgos inicial</w:t>
      </w:r>
    </w:p>
    <w:p>
      <w:pPr>
        <w:pStyle w:val="Heading3"/>
      </w:pPr>
      <w:r>
        <w:t>2.5.1 Conversión de DREAD a probabilidad e impacto</w:t>
      </w:r>
    </w:p>
    <w:p>
      <w:pPr>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jc w:val="both"/>
      </w:pPr>
      <w:r>
        <w:t>Probabilidad (1 a 5) = redondeo hacia arriba de ((R + E + Di) / 3) / 2.</w:t>
      </w:r>
    </w:p>
    <w:p>
      <w:pPr>
        <w:pStyle w:val="ListBullet"/>
        <w:spacing w:line="360" w:lineRule="auto"/>
        <w:jc w:val="both"/>
      </w:pPr>
      <w:r>
        <w:t>Impacto (1 a 5) = redondeo hacia arriba de ((D + A) / 2) / 2.</w:t>
      </w:r>
    </w:p>
    <w:p>
      <w:pPr>
        <w:pStyle w:val="ListBullet"/>
        <w:spacing w:line="360" w:lineRule="auto"/>
        <w:jc w:val="both"/>
      </w:pPr>
      <w:r>
        <w:t>Riesgo = P × I: de 1 a 4, Bajo; de 5 a 9, Medio; de 10 a 14, Alto; de 15 a 25, Crítico.</w:t>
      </w:r>
    </w:p>
    <w:p>
      <w:pPr>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w:t>
      </w:r>
    </w:p>
    <w:p>
      <w:pPr>
        <w:pStyle w:val="Heading3"/>
      </w:pPr>
      <w:r>
        <w:t>2.5.2 Matriz de riesgos</w:t>
      </w:r>
    </w:p>
    <w:p>
      <w:pPr>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La Tabla 21 presenta la matriz.</w:t>
      </w:r>
    </w:p>
    <w:tbl>
      <w:tblPr>
        <w:jc w:val="center"/>
        <w:tblLayout w:type="fixed"/>
        <w:tblLook w:firstColumn="1" w:firstRow="1" w:lastColumn="0" w:lastRow="0" w:noHBand="0" w:noVBand="1" w:val="04A0"/>
        <w:tblLayout w:type="fixed"/>
        <w:tblW w:w="9360" w:type="dxa"/>
      </w:tblPr>
      <w:tblGrid>
        <w:gridCol w:w="760"/>
        <w:gridCol w:w="760"/>
        <w:gridCol w:w="380"/>
        <w:gridCol w:w="380"/>
        <w:gridCol w:w="520"/>
        <w:gridCol w:w="800"/>
        <w:gridCol w:w="1900"/>
        <w:gridCol w:w="1200"/>
        <w:gridCol w:w="1300"/>
        <w:gridCol w:w="1360"/>
      </w:tblGrid>
      <w:tr>
        <w:trPr>
          <w:cantSplit/>
          <w:tblHeader/>
        </w:trPr>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RSK</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I</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Nivel</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Tipo de riesgo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Impacto de negocio</w:t>
            </w:r>
          </w:p>
        </w:tc>
        <w:tc>
          <w:tcPr>
            <w:tcW w:type="dxa" w:w="1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Tratamiento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Transferir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Aceptar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RSK-40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AME-40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RSK-41</w:t>
            </w:r>
          </w:p>
        </w:tc>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AME-41</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Mitigar</w:t>
            </w:r>
          </w:p>
        </w:tc>
      </w:tr>
    </w:tbl>
    <w:p>
      <w:pPr>
        <w:spacing w:line="240" w:lineRule="auto" w:before="80" w:after="240"/>
        <w:jc w:val="both"/>
      </w:pPr>
      <w:r>
        <w:rPr>
          <w:i/>
          <w:sz w:val="20"/>
        </w:rPr>
        <w:t xml:space="preserve">Nota. </w:t>
      </w:r>
      <w:r>
        <w:rPr>
          <w:sz w:val="20"/>
        </w:rPr>
        <w:t>Elaboración propia a partir del modelo de amenazas T2. P = probabilidad; I = impacto; valores inherentes, sin controles. El control asociado a cada riesgo está en la Tabla 17.</w:t>
      </w:r>
    </w:p>
    <w:p>
      <w:pPr>
        <w:ind w:firstLine="720"/>
        <w:jc w:val="both"/>
      </w:pPr>
      <w:r>
        <w:t xml:space="preserve">El tratamiento propuesto es </w:t>
      </w:r>
      <w:r>
        <w:rPr>
          <w:b/>
        </w:rPr>
        <w:t>mitigar</w:t>
      </w:r>
      <w:r>
        <w:t xml:space="preserve"> para 39 riesgos, mediante los controles de diseño de la sección 1.5. Dos riesgos reciben otro tratamiento: RSK-01 (indisponibilidad de la región us-east-1) se </w:t>
      </w:r>
      <w:r>
        <w:rPr>
          <w:b/>
        </w:rPr>
        <w:t>transfiere</w:t>
      </w:r>
      <w:r>
        <w:t xml:space="preserve"> a AWS bajo el modelo de responsabilidad compartida, porque la protección física y la disponibilidad de los centros de datos son responsabilidad del proveedor, aunque la decisión de continuidad sigue siendo nuestra; y RSK-31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pPr>
      <w:r>
        <w:t>2.5.3 Mapa de calor del riesgo inherente</w:t>
      </w:r>
    </w:p>
    <w:p>
      <w:pPr>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240" w:line="240" w:lineRule="auto"/>
      </w:pPr>
      <w:r>
        <w:rPr>
          <w:b/>
        </w:rPr>
        <w:t>Figura 5</w:t>
      </w:r>
    </w:p>
    <w:p>
      <w:pPr>
        <w:keepNext/>
        <w:spacing w:line="240" w:lineRule="auto" w:after="120"/>
      </w:pPr>
      <w:r>
        <w:rPr>
          <w:i/>
        </w:rPr>
        <w:t>Mapa de calor del riesgo inherente de Q-Wallet</w:t>
      </w:r>
    </w:p>
    <w:p>
      <w:pPr>
        <w:spacing w:line="240" w:lineRule="auto"/>
        <w:jc w:val="center"/>
      </w:pPr>
      <w:r>
        <w:drawing>
          <wp:inline xmlns:a="http://schemas.openxmlformats.org/drawingml/2006/main" xmlns:pic="http://schemas.openxmlformats.org/drawingml/2006/picture">
            <wp:extent cx="5669280" cy="4161493"/>
            <wp:docPr id="1" name="Picture 1"/>
            <wp:cNvGraphicFramePr>
              <a:graphicFrameLocks noChangeAspect="1"/>
            </wp:cNvGraphicFramePr>
            <a:graphic>
              <a:graphicData uri="http://schemas.openxmlformats.org/drawingml/2006/picture">
                <pic:pic>
                  <pic:nvPicPr>
                    <pic:cNvPr id="0" name="EVD-2-05_heatmap_inherente.png"/>
                    <pic:cNvPicPr/>
                  </pic:nvPicPr>
                  <pic:blipFill>
                    <a:blip r:embed="rId9"/>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pPr>
      <w:r>
        <w:t>2.5.4 Riesgos por capa de defensa</w:t>
      </w:r>
    </w:p>
    <w:p>
      <w:pPr>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240" w:line="240" w:lineRule="auto"/>
      </w:pPr>
      <w:r>
        <w:rPr>
          <w:b/>
        </w:rPr>
        <w:t>Tabla 22</w:t>
      </w:r>
    </w:p>
    <w:p>
      <w:pPr>
        <w:keepNext/>
        <w:spacing w:line="240" w:lineRule="auto" w:after="120"/>
      </w:pPr>
      <w:r>
        <w:rPr>
          <w:i/>
        </w:rPr>
        <w:t>Distribución de riesgos inherentes por capa de defensa</w:t>
      </w:r>
    </w:p>
    <w:tbl>
      <w:tblPr>
        <w:jc w:val="center"/>
        <w:tblLayout w:type="fixed"/>
        <w:tblLook w:firstColumn="1" w:firstRow="1" w:lastColumn="0" w:lastRow="0" w:noHBand="0" w:noVBand="1" w:val="04A0"/>
        <w:tblLayout w:type="fixed"/>
        <w:tblW w:w="9360" w:type="dxa"/>
      </w:tblPr>
      <w:tblGrid>
        <w:gridCol w:w="1550"/>
        <w:gridCol w:w="2300"/>
        <w:gridCol w:w="820"/>
        <w:gridCol w:w="520"/>
        <w:gridCol w:w="520"/>
        <w:gridCol w:w="620"/>
        <w:gridCol w:w="520"/>
        <w:gridCol w:w="2510"/>
      </w:tblGrid>
      <w:tr>
        <w:trPr>
          <w:cantSplit/>
          <w:tblHeader/>
        </w:trPr>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Qué se evalúa</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Riesgos</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Crít.</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Alto</w:t>
            </w:r>
          </w:p>
        </w:tc>
        <w:tc>
          <w:tcPr>
            <w:tcW w:type="dxa" w:w="6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Medio</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Bajo</w:t>
            </w:r>
          </w:p>
        </w:tc>
        <w:tc>
          <w:tcPr>
            <w:tcW w:type="dxa" w:w="251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Riesgos (RSK)</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Cifrado en reposo y en tránsito, enmascaramiento, llaves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 RSK-06, RSK-09, RSK-10, RSK-25, RSK-26, RSK-28, RSK-29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Validación de entrada, secretos, prácticas seguras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 RSK-08, RSK-12, RSK-21, RSK-34</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Lógica de negocio, autenticación y autorización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 RSK-15, RSK-16, RSK-17, RSK-20, RSK-22, RSK-23, RSK-36, RSK-37, RSK-38, RSK-39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Dependencias npm, SDK y frameworks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Endpoints, CORS, límites por endpoint</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 RSK-14, RSK-18</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Contenedores, runtime, dispositivo y estación local</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 RSK-35, RSK-41</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Roles IAM por Lambda, microsegmentación lógica</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 RSK-27</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AWS WAF, throttling, Shield Standard</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 RSK-30</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Centros de datos AWS, dispositivo físico</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 RSK-02</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MFA, DevSecOps, incidentes, capacitación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 RSK-24, RSK-32, RSK-40</w:t>
            </w:r>
          </w:p>
        </w:tc>
      </w:tr>
      <w:tr>
        <w:trPr>
          <w:cantSplit/>
        </w:trPr>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Total</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c>
          <w:tcPr>
            <w:tcW w:type="dxa" w:w="8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41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18</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6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r>
    </w:tbl>
    <w:p>
      <w:pPr>
        <w:spacing w:line="240" w:lineRule="auto" w:before="80" w:after="240"/>
        <w:jc w:val="both"/>
      </w:pPr>
      <w:r>
        <w:rPr>
          <w:i/>
          <w:sz w:val="20"/>
        </w:rPr>
        <w:t xml:space="preserve">Nota. </w:t>
      </w:r>
      <w:r>
        <w:rPr>
          <w:sz w:val="20"/>
        </w:rPr>
        <w:t>Elaboración propia a partir de la Tabla 21. Crít. = Crítico.</w:t>
      </w:r>
    </w:p>
    <w:p>
      <w:pPr>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3"/>
      </w:pPr>
      <w:r>
        <w:t>2.5.5 Riesgo residual proyectado y tratamiento</w:t>
      </w:r>
    </w:p>
    <w:p>
      <w:pPr>
        <w:ind w:firstLine="720"/>
        <w:jc w:val="both"/>
      </w:pPr>
      <w:r>
        <w:t xml:space="preserve">Para cerrar el análisis proyectamos el riesgo residual de cada amenaza, es decir, el riesgo que esperamos que quede cuando el control asignado en la Tabla 17 esté implementado. Para cada amenaza volvimos a estimar la probabilidad y el impacto con la misma escala de la sección 2.5.1, suponiendo el control en funcionamiento, y registramos el resultado en el modelo de amenazas junto a la mitigación. Es una proyección y no una medición: ISO/IEC 27005:2022 (ISO &amp; IEC, 2022b) indica que el riesgo residual se evalúa después de aplicar el tratamiento, por lo que el mapa definitivo lo elaboraremos con la evidencia de las pruebas de los controles y de los casos de abuso.</w:t>
      </w:r>
    </w:p>
    <w:p>
      <w:pPr>
        <w:ind w:firstLine="720"/>
        <w:jc w:val="both"/>
      </w:pPr>
      <w:r>
        <w:t xml:space="preserve">La Figura 6 muestra el resultado. Los riesgos Críticos pasan de 18 a 0, los Altos de 12 a 1, los Medios de 11 a 26 y los Bajos de 0 a 14; la suma de los puntajes P×I de las 41 amenazas baja de 580 a 207, una reducción de 64 %. La mayoría de los controles de diseño son preventivos: hacen más difícil que la amenaza ocurra, pero no reducen el daño si llega a ocurrir. Por eso 32 amenazas bajan solo su probabilidad, 7 bajan también su impacto (AME-04, AME-11, AME-15, AME-19, AME-20, AME-33 y AME-35) y 2 no cambian por su tratamiento (AME-01 y AME-31). En consecuencia, 15 riesgos quedan en la celda P1 × I5 = 5 (Medio): su probabilidad llega al mínimo, pero su impacto sigue siendo máximo, como en el acceso a cuentas ajenas (AME-17) o la exposición de secretos (AME-34). Bajarlos a nivel Bajo exigiría reducir el impacto, por ejemplo con límites de monto por transferencia, lo que dejamos como recomendación.</w:t>
      </w:r>
    </w:p>
    <w:p>
      <w:pPr>
        <w:keepNext/>
        <w:spacing w:before="240" w:line="240" w:lineRule="auto"/>
      </w:pPr>
      <w:r>
        <w:rPr>
          <w:b/>
        </w:rPr>
        <w:t>Figura 6</w:t>
      </w:r>
    </w:p>
    <w:p>
      <w:pPr>
        <w:keepNext/>
        <w:spacing w:line="240" w:lineRule="auto" w:after="120"/>
      </w:pPr>
      <w:r>
        <w:rPr>
          <w:i/>
        </w:rPr>
        <w:t>Mapa de calor del riesgo residual proyectado de Q-Wallet</w:t>
      </w:r>
    </w:p>
    <w:p>
      <w:pPr>
        <w:spacing w:line="240" w:lineRule="auto"/>
        <w:jc w:val="center"/>
      </w:pPr>
      <w:r>
        <w:drawing>
          <wp:inline xmlns:a="http://schemas.openxmlformats.org/drawingml/2006/main" xmlns:pic="http://schemas.openxmlformats.org/drawingml/2006/picture">
            <wp:extent cx="5669280" cy="4161493"/>
            <wp:docPr id="14" name="Picture 14"/>
            <wp:cNvGraphicFramePr>
              <a:graphicFrameLocks noChangeAspect="1"/>
            </wp:cNvGraphicFramePr>
            <a:graphic>
              <a:graphicData uri="http://schemas.openxmlformats.org/drawingml/2006/picture">
                <pic:pic>
                  <pic:nvPicPr>
                    <pic:cNvPr id="0" name="EVD-2-07_heatmap_residual_proyectado.png"/>
                    <pic:cNvPicPr/>
                  </pic:nvPicPr>
                  <pic:blipFill>
                    <a:blip r:embed="rId13"/>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EVD-2-07) a partir del riesgo residual esperado registrado para cada amenaza en el modelo de amenazas T2. Mismo formato y escala que la Figura 5: cada celda indica el número de amenazas con esa combinación de probabilidad e impacto residuales. Proyección pendiente de verificación con pruebas.</w:t>
      </w:r>
    </w:p>
    <w:p>
      <w:pPr>
        <w:ind w:firstLine="720"/>
        <w:jc w:val="both"/>
      </w:pPr>
      <w:r>
        <w:t xml:space="preserve">Para decidir qué residual es tolerable definimos un criterio de aceptación del riesgo, como pide ISO/IEC 27005:2022: un riesgo residual Bajo se acepta; uno Medio se acepta con la aprobación del propietario del activo y seguimiento en el SIEM; uno Alto no se acepta sin un plan de tratamiento con fecha, y uno Crítico no se acepta. La Tabla 23 compara, riesgo por riesgo, el valor inherente con el residual proyectado y el tratamiento. Los 39 riesgos que se mitigan reducen su puntaje. Los dos restantes no cambian, y es coherente con su tratamiento: RSK-01 se transfiere a AWS, lo que traslada la responsabilidad sobre los centros de datos, pero no reduce el impacto que una caída regional tendría sobre Q-Wallet; RSK-31 se acepta, por lo que no se aplica un control adicional y el riesgo queda en 9 (Medio), dentro del criterio.</w:t>
      </w:r>
    </w:p>
    <w:p>
      <w:pPr>
        <w:ind w:firstLine="720"/>
        <w:jc w:val="both"/>
      </w:pPr>
      <w:r>
        <w:t xml:space="preserve">El único residual Alto es RSK-32 (compromiso del pipeline de despliegue). Su impacto se mantiene en 5, porque quien controle el pipeline puede publicar código en producción, y su probabilidad baja solo a 2: el despliegue por OIDC y la fijación de las GitHub Actions por SHA (CTRL-21) eliminan las llaves estáticas, pero la regla de la rama principal no exige la aprobación de otro integrante y la cadena de suministro de las Actions depende de terceros. Según el criterio anterior, este residual no se acepta. El plan de tratamiento refuerza CTRL-21 en la fase de arquitectura con tres medidas: un entorno de despliegue protegido en GitHub que exija la aprobación de un segundo integrante, una política de confianza OIDC que solo admita ese entorno y la rama principal, y un rol de despliegue con el mínimo de permisos. Con ese refuerzo esperamos llevar la probabilidad a 1 y el riesgo a 5 (Medio).</w:t>
      </w:r>
    </w:p>
    <w:p>
      <w:pPr>
        <w:ind w:firstLine="720"/>
        <w:jc w:val="both"/>
      </w:pPr>
      <w:r>
        <w:t xml:space="preserve">Por último, que ningún riesgo inherente quede en nivel Bajo no se debe al redondeo hacia arriba de la conversión de la sección 2.5.1. Si redondeáramos al entero más cercano, solo una amenaza (AME-41) bajaría a Bajo. La causa está en el alcance del modelo: solo registramos amenazas que afectan dinero, datos personales o la disponibilidad de la plataforma, por lo que el impacto mínimo es 2 y la única amenaza con probabilidad 1 tiene impacto 5. El redondeo hacia arriba es una decisión conservadora: ante la duda, preferimos no subestimar un riesgo.</w:t>
      </w:r>
    </w:p>
    <w:p>
      <w:pPr>
        <w:keepNext/>
        <w:spacing w:before="240" w:line="240" w:lineRule="auto"/>
      </w:pPr>
      <w:r>
        <w:rPr>
          <w:b/>
        </w:rPr>
        <w:t>Tabla 23</w:t>
      </w:r>
    </w:p>
    <w:p>
      <w:pPr>
        <w:keepNext/>
        <w:spacing w:line="240" w:lineRule="auto" w:after="120"/>
      </w:pPr>
      <w:r>
        <w:rPr>
          <w:i/>
        </w:rPr>
        <w:t>Riesgo inherente y residual proyectado por riesgo</w:t>
      </w:r>
    </w:p>
    <w:tbl>
      <w:tblPr>
        <w:tblW w:w="9360" w:type="dxa"/>
        <w:jc w:val="center"/>
        <w:tblLayout w:type="fixed"/>
        <w:tblLook w:firstColumn="1" w:firstRow="1" w:lastColumn="0" w:lastRow="0" w:noHBand="0" w:noVBand="1" w:val="04A0"/>
      </w:tblPr>
      <w:tblGrid>
        <w:gridCol w:w="700"/>
        <w:gridCol w:w="3860"/>
        <w:gridCol w:w="860"/>
        <w:gridCol w:w="800"/>
        <w:gridCol w:w="860"/>
        <w:gridCol w:w="800"/>
        <w:gridCol w:w="148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RSK</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Amenaza (AME)</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Inherente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Residual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Tratamiento</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AME-01 Indisponibilidad de la región us-east-1</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Transferir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AME-02 Uso de la app desde un dispositivo perdido o robado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AME-03 Ingeniería social contra personal de soporte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AME-04 Toma de cuenta con credenciales obtenidas por phishing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AME-05 Modificación de una transferencia en tránsito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AME-06 Intercepción de tokens y datos personales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AME-07 Ingeniería inversa y hooking de la app</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AME-08 Secretos embebidos en el APK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AME-09 Exposición de saldo en capturas y vista de apps recientes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4×2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AME-10 Extracción de tokens del almacenamiento del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AME-11 Saturación de la API y consumo de costo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AME-12 Envío de cargas maliciosas y entradas malformadas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AME-13 Ruta publicada sin Cognito Authorizer</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AME-14 Mensajes de error con detalle interno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AME-15 Credential stuffing contra el managed login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AME-16 Token JWT alterado o falsificado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AME-17 Lectura de movimientos de una cuenta ajena (BOLA)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AME-18 Consulta sin límite en movimientos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AME-19 Rol IAM de Lambda con permisos excesivos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AME-20 Enumeración de usuarios por número de teléfono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AME-21 Asignación masiva de atributos en PATCH /me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AME-22 Modificación de presupuestos de otro usuario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AME-23 Acceso de un cliente a /admin/* (BFLA)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AME-24 Acciones administrativas sin trazabilidad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AME-25 Tokens o datos personales escritos en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AME-26 Acceso a datos en reposo o a exportaciones de DynamoDB</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AME-27 Lectura de secretos por un rol no autorizado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AME-28 Deshabilitación o eliminación programada de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AME-29 Borrado o alteración de CloudTrail para ocultar actividad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AME-30 Bucket S3 público con registros o estado de Terraform</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AME-31 SIEM local apagado o comprometido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Aceptar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AME-32 Compromiso del pipeline de despliegue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AME-33 Dependencia npm vulnerable o maliciosa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AME-34 Secretos en el historial de un repositorio público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AME-35 Imagen de contenedor alterada o con base vulnerable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AME-36 Monto negativo, decimal o fuera de rango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AME-37 Transferencia desde una cuenta origen ajena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AME-38 Fuerza bruta del PIN de transacción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AME-39 Doble gasto por solicitudes concurrentes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AME-40 Cliente niega haber realizado una transferencia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2×2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AME-41 Lectura de los registros de AWS con las credenciales del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Total</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41 riesgos</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580</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207</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
            </w:r>
          </w:p>
        </w:tc>
      </w:tr>
    </w:tbl>
    <w:p>
      <w:pPr>
        <w:spacing w:line="240" w:lineRule="auto" w:before="80" w:after="240"/>
        <w:jc w:val="both"/>
      </w:pPr>
      <w:r>
        <w:rPr>
          <w:i/>
          <w:sz w:val="20"/>
        </w:rPr>
        <w:t xml:space="preserve">Nota. </w:t>
      </w:r>
      <w:r>
        <w:rPr>
          <w:sz w:val="20"/>
        </w:rPr>
        <w:t>Elaboración propia a partir del modelo de amenazas T2. P × I = probabilidad por impacto; el residual es la proyección con el control de la Tabla 17 implementado y está pendiente de verificación con pruebas. La distribución por nivel está en las Figuras 5 y 6.</w:t>
      </w:r>
    </w:p>
    <w:p>
      <w:pPr>
        <w:pStyle w:val="Heading2"/>
      </w:pPr>
      <w:r>
        <w:t>Referencias de la sección 2</w:t>
      </w:r>
    </w:p>
    <w:p>
      <w:pPr>
        <w:ind w:left="720" w:hanging="720"/>
        <w:jc w:val="left"/>
      </w:pPr>
      <w:r>
        <w:t xml:space="preserve">Amazon Web Services. (s. f.). </w:t>
      </w:r>
      <w:r>
        <w:rPr>
          <w:i/>
        </w:rPr>
        <w:t>Shared responsibility model</w:t>
      </w:r>
      <w:r>
        <w:t>. https://aws.amazon.com/compliance/shared-responsibility-model/</w:t>
      </w:r>
    </w:p>
    <w:p>
      <w:pPr>
        <w:ind w:left="720" w:hanging="720"/>
        <w:jc w:val="left"/>
      </w:pPr>
      <w:r>
        <w:t xml:space="preserve">Howard, M., &amp; LeBlanc, D. (2003). </w:t>
      </w:r>
      <w:r>
        <w:rPr>
          <w:i/>
        </w:rPr>
        <w:t>Writing secure code</w:t>
      </w:r>
      <w:r>
        <w:t xml:space="preserve"> (2.ª ed.). Microsoft Press.</w:t>
      </w:r>
    </w:p>
    <w:p>
      <w:pPr>
        <w:ind w:left="720" w:hanging="720"/>
        <w:jc w:val="left"/>
      </w:pPr>
      <w:r>
        <w:t xml:space="preserve">International Organization for Standardization &amp; International Electrotechnical Commission. (2022a). </w:t>
      </w:r>
      <w:r>
        <w:rPr>
          <w:i/>
        </w:rPr>
        <w:t>Information security, cybersecurity and privacy protection: Information security management systems: Requirements</w:t>
      </w:r>
      <w:r>
        <w:t xml:space="preserve"> (ISO/IEC 27001:2022). https://www.iso.org/standard/27001</w:t>
      </w:r>
    </w:p>
    <w:p>
      <w:pPr>
        <w:ind w:left="720" w:hanging="720"/>
        <w:jc w:val="left"/>
      </w:pPr>
      <w:r>
        <w:t xml:space="preserve">International Organization for Standardization &amp; International Electrotechnical Commission. (2022b). </w:t>
      </w:r>
      <w:r>
        <w:rPr>
          <w:i/>
        </w:rPr>
        <w:t>Information security, cybersecurity and privacy protection: Guidance on managing information security risks</w:t>
      </w:r>
      <w:r>
        <w:t xml:space="preserve"> (ISO/IEC 27005:2022). https://www.iso.org/standard/80585.html</w:t>
      </w:r>
    </w:p>
    <w:p>
      <w:pPr>
        <w:ind w:left="720" w:hanging="720"/>
        <w:jc w:val="left"/>
      </w:pPr>
      <w:r>
        <w:t xml:space="preserve">Joint Task Force Transformation Initiative. (2012). </w:t>
      </w:r>
      <w:r>
        <w:rPr>
          <w:i/>
        </w:rPr>
        <w:t>Guide for conducting risk assessments</w:t>
      </w:r>
      <w:r>
        <w:t xml:space="preserve"> (NIST SP 800-30 Rev. 1). National Institute of Standards and Technology. https://doi.org/10.6028/NIST.SP.800-30r1</w:t>
      </w:r>
    </w:p>
    <w:p>
      <w:pPr>
        <w:ind w:left="720" w:hanging="720"/>
        <w:jc w:val="left"/>
      </w:pPr>
      <w:r>
        <w:t xml:space="preserve">OWASP Foundation. (2023). </w:t>
      </w:r>
      <w:r>
        <w:rPr>
          <w:i/>
        </w:rPr>
        <w:t>OWASP API Security Top 10 2023</w:t>
      </w:r>
      <w:r>
        <w:t>. https://owasp.org/API-Security/editions/2023/en/0x00-header/</w:t>
      </w:r>
    </w:p>
    <w:p>
      <w:pPr>
        <w:ind w:left="720" w:hanging="720"/>
        <w:jc w:val="left"/>
      </w:pPr>
      <w:r>
        <w:t xml:space="preserve">OWASP Foundation. (2024). </w:t>
      </w:r>
      <w:r>
        <w:rPr>
          <w:i/>
        </w:rPr>
        <w:t>OWASP Threat Dragon</w:t>
      </w:r>
      <w:r>
        <w:t>. https://owasp.org/www-project-threat-dragon/</w:t>
      </w:r>
    </w:p>
    <w:p>
      <w:pPr>
        <w:ind w:left="720" w:hanging="720"/>
        <w:jc w:val="left"/>
      </w:pPr>
      <w:r>
        <w:t xml:space="preserve">OWASP Foundation. (s. f.). </w:t>
      </w:r>
      <w:r>
        <w:rPr>
          <w:i/>
        </w:rPr>
        <w:t>OWASP Mobile Application Security Verification Standard (MASVS)</w:t>
      </w:r>
      <w:r>
        <w:t>. https://mas.owasp.org/MASVS/</w:t>
      </w:r>
    </w:p>
    <w:p>
      <w:pPr>
        <w:ind w:left="720" w:hanging="720"/>
        <w:jc w:val="left"/>
      </w:pPr>
      <w:r>
        <w:t xml:space="preserve">Shostack, A. (2014). </w:t>
      </w:r>
      <w:r>
        <w:rPr>
          <w:i/>
        </w:rPr>
        <w:t>Threat modeling: Designing for security</w:t>
      </w:r>
      <w:r>
        <w:t>.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Arial" w:hAnsi="Arial" w:cs="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Arial" w:hAnsi="Arial" w:cs="Arial" w:eastAsia="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EVD-2-01_dfd-nivel0.png"/><Relationship Id="rId11" Type="http://schemas.openxmlformats.org/officeDocument/2006/relationships/image" Target="media/EVD-2-02_dfd-nivel1.png"/><Relationship Id="rId12" Type="http://schemas.openxmlformats.org/officeDocument/2006/relationships/image" Target="media/EVD-2-03_dfd-nivel2.png"/><Relationship Id="rId13" Type="http://schemas.openxmlformats.org/officeDocument/2006/relationships/image" Target="media/EVD-2-07_heatmap_residual_proyectad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