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Referencias</w:t>
      </w:r>
    </w:p>
    <w:p>
      <w:pPr>
        <w:ind w:left="720" w:hanging="720"/>
      </w:pPr>
      <w:r>
        <w:rPr>
          <w:i w:val="false"/>
          <w:iCs w:val="false"/>
        </w:rPr>
        <w:t xml:space="preserve">Amazon Web Services. (s. f.-a). </w:t>
      </w:r>
      <w:r>
        <w:rPr>
          <w:i/>
          <w:iCs/>
        </w:rPr>
        <w:t xml:space="preserve">Guatemala: Financial services compliance center</w:t>
      </w:r>
      <w:r>
        <w:rPr>
          <w:i w:val="false"/>
          <w:iCs w:val="false"/>
        </w:rPr>
        <w:t xml:space="preserve">. Recuperado el 10 de octubre de 2026, de https://aws.amazon.com/financial-services/security-compliance/compliance-center/gt</w:t>
      </w:r>
    </w:p>
    <w:p>
      <w:pPr>
        <w:ind w:left="720" w:hanging="720"/>
      </w:pPr>
      <w:r>
        <w:rPr>
          <w:i w:val="false"/>
          <w:iCs w:val="false"/>
        </w:rPr>
        <w:t xml:space="preserve">Amazon Web Services. (s. f.-b). </w:t>
      </w:r>
      <w:r>
        <w:rPr>
          <w:i/>
          <w:iCs/>
        </w:rPr>
        <w:t xml:space="preserve">Penetration testing</w:t>
      </w:r>
      <w:r>
        <w:rPr>
          <w:i w:val="false"/>
          <w:iCs w:val="false"/>
        </w:rPr>
        <w:t xml:space="preserve">. Recuperado el 10 de octubre de 2026, de https://aws.amazon.com/security/penetration-testing/</w:t>
      </w:r>
    </w:p>
    <w:p>
      <w:pPr>
        <w:ind w:left="720" w:hanging="720"/>
      </w:pPr>
      <w:r>
        <w:rPr>
          <w:i w:val="false"/>
          <w:iCs w:val="false"/>
        </w:rPr>
        <w:t xml:space="preserve">Amazon Web Services. (s. f.-c). </w:t>
      </w:r>
      <w:r>
        <w:rPr>
          <w:i/>
          <w:iCs/>
        </w:rPr>
        <w:t xml:space="preserve">Shared responsibility model</w:t>
      </w:r>
      <w:r>
        <w:rPr>
          <w:i w:val="false"/>
          <w:iCs w:val="false"/>
        </w:rPr>
        <w:t xml:space="preserve">. https://aws.amazon.com/compliance/shared-responsibility-model/</w:t>
      </w:r>
    </w:p>
    <w:p>
      <w:pPr>
        <w:ind w:left="720" w:hanging="720"/>
      </w:pPr>
      <w:r>
        <w:rPr>
          <w:i w:val="false"/>
          <w:iCs w:val="false"/>
        </w:rPr>
        <w:t xml:space="preserve">Center for Internet Security. (2024). </w:t>
      </w:r>
      <w:r>
        <w:rPr>
          <w:i/>
          <w:iCs/>
        </w:rPr>
        <w:t xml:space="preserve">CIS Docker Benchmark</w:t>
      </w:r>
      <w:r>
        <w:rPr>
          <w:i w:val="false"/>
          <w:iCs w:val="false"/>
        </w:rPr>
        <w:t xml:space="preserve"> (versión 1.7.0). https://www.cisecurity.org/benchmark/docker</w:t>
      </w:r>
    </w:p>
    <w:p>
      <w:pPr>
        <w:ind w:left="720" w:hanging="720"/>
      </w:pPr>
      <w:r>
        <w:rPr>
          <w:i w:val="false"/>
          <w:iCs w:val="false"/>
        </w:rPr>
        <w:t xml:space="preserve">Center for Internet Security. (2025). </w:t>
      </w:r>
      <w:r>
        <w:rPr>
          <w:i/>
          <w:iCs/>
        </w:rPr>
        <w:t xml:space="preserve">CIS Amazon Web Services Foundations Benchmark</w:t>
      </w:r>
      <w:r>
        <w:rPr>
          <w:i w:val="false"/>
          <w:iCs w:val="false"/>
        </w:rPr>
        <w:t xml:space="preserve"> (versión 5.0). https://www.cisecurity.org/benchmark/amazon_web_services</w:t>
      </w:r>
    </w:p>
    <w:p>
      <w:pPr>
        <w:ind w:left="720" w:hanging="720"/>
      </w:pPr>
      <w:r>
        <w:rPr>
          <w:i w:val="false"/>
          <w:iCs w:val="false"/>
        </w:rPr>
        <w:t xml:space="preserve">Congreso de la República de Guatemala. (2001). </w:t>
      </w:r>
      <w:r>
        <w:rPr>
          <w:i/>
          <w:iCs/>
        </w:rPr>
        <w:t xml:space="preserve">Decreto Número 67-2001: Ley contra el Lavado de Dinero u Otros Activos</w:t>
      </w:r>
      <w:r>
        <w:rPr>
          <w:i w:val="false"/>
          <w:iCs w:val="false"/>
        </w:rPr>
        <w:t xml:space="preserve">. Banco de Guatemala. https://pinfex.banguat.gob.gt/sites/default/files/banguat/leyes/2025/ley_contra_lavado_de_dinero.pdf</w:t>
      </w:r>
    </w:p>
    <w:p>
      <w:pPr>
        <w:ind w:left="720" w:hanging="720"/>
      </w:pPr>
      <w:r>
        <w:rPr>
          <w:i w:val="false"/>
          <w:iCs w:val="false"/>
        </w:rPr>
        <w:t xml:space="preserve">Congreso de la República de Guatemala. (2008). </w:t>
      </w:r>
      <w:r>
        <w:rPr>
          <w:i/>
          <w:iCs/>
        </w:rPr>
        <w:t xml:space="preserve">Decreto Número 57-2008: Ley de Acceso a la Información Pública</w:t>
      </w:r>
      <w:r>
        <w:rPr>
          <w:i w:val="false"/>
          <w:iCs w:val="false"/>
        </w:rPr>
        <w:t xml:space="preserve">. Secretaría contra la Violencia Sexual, Explotación y Trata de Personas. https://acceso.svet.gob.gt/wpsvet/wp-content/uploads/2026/02/DECRETO-57-2008-LEY-DE-ACCESO-A-LA-INFORMACION-PUBLICA.pdf</w:t>
      </w:r>
    </w:p>
    <w:p>
      <w:pPr>
        <w:ind w:left="720" w:hanging="720"/>
      </w:pPr>
      <w:r>
        <w:rPr>
          <w:i w:val="false"/>
          <w:iCs w:val="false"/>
        </w:rPr>
        <w:t xml:space="preserve">Emisoras Unidas. (2026, 16 de julio). </w:t>
      </w:r>
      <w:r>
        <w:rPr>
          <w:i/>
          <w:iCs/>
        </w:rPr>
        <w:t xml:space="preserve">Comisión de Asuntos de Seguridad analiza Iniciativa de Ley de Protección de Datos Personales</w:t>
      </w:r>
      <w:r>
        <w:rPr>
          <w:i w:val="false"/>
          <w:iCs w:val="false"/>
        </w:rPr>
        <w:t xml:space="preserve">. https://emisorasunidas.com/nacional/2026/07/16/comision-de-asuntos-de-seguridad-analiza-iniciativa-de-ley-de-proteccion-de-datos-personales/</w:t>
      </w:r>
    </w:p>
    <w:p>
      <w:pPr>
        <w:ind w:left="720" w:hanging="720"/>
      </w:pPr>
      <w:r>
        <w:rPr>
          <w:i w:val="false"/>
          <w:iCs w:val="false"/>
        </w:rPr>
        <w:t xml:space="preserve">Estrategia &amp; Negocios. (2025, 17 de julio). </w:t>
      </w:r>
      <w:r>
        <w:rPr>
          <w:i/>
          <w:iCs/>
        </w:rPr>
        <w:t xml:space="preserve">Ranking de bancarización de los países de Centroamérica, según el informe Global Findex</w:t>
      </w:r>
      <w:r>
        <w:rPr>
          <w:i w:val="false"/>
          <w:iCs w:val="false"/>
        </w:rPr>
        <w:t xml:space="preserve">. https://www.revistaeyn.com/finanzas/ranking-de-bancarizacion-de-los-paises-de-centroamerica-segun-el-informe-global-findex-OG26642185</w:t>
      </w:r>
    </w:p>
    <w:p>
      <w:pPr>
        <w:ind w:left="720" w:hanging="720"/>
      </w:pPr>
      <w:r>
        <w:rPr>
          <w:i w:val="false"/>
          <w:iCs w:val="false"/>
        </w:rPr>
        <w:t xml:space="preserve">Finnovista, Banco Interamericano de Desarrollo y BID Invest. (2024). </w:t>
      </w:r>
      <w:r>
        <w:rPr>
          <w:i/>
          <w:iCs/>
        </w:rPr>
        <w:t xml:space="preserve">Fintech en América Latina y el Caribe: Un ecosistema consolidado con potencial para aportar a la inclusión financiera regional</w:t>
      </w:r>
      <w:r>
        <w:rPr>
          <w:i w:val="false"/>
          <w:iCs w:val="false"/>
        </w:rPr>
        <w:t xml:space="preserve"> (Monografía del BID n.º 1220). Banco Interamericano de Desarrollo. https://publications.iadb.org/publications/spanish/document/Fintech-en-America-Latina-y-el-Caribe-un-ecosistema-consolidado-con-potencial-para-aportar-a-la-inclusion-fianciera-regional.pdf</w:t>
      </w:r>
    </w:p>
    <w:p>
      <w:pPr>
        <w:ind w:left="720" w:hanging="720"/>
      </w:pPr>
      <w:r>
        <w:rPr>
          <w:i w:val="false"/>
          <w:iCs w:val="false"/>
        </w:rPr>
        <w:t xml:space="preserve">Howard, M. y LeBlanc, D. (2003). </w:t>
      </w:r>
      <w:r>
        <w:rPr>
          <w:i/>
          <w:iCs/>
        </w:rPr>
        <w:t xml:space="preserve">Writing secure code</w:t>
      </w:r>
      <w:r>
        <w:rPr>
          <w:i w:val="false"/>
          <w:iCs w:val="false"/>
        </w:rPr>
        <w:t xml:space="preserve"> (2.ª ed.). Microsoft Press.</w:t>
      </w:r>
    </w:p>
    <w:p>
      <w:pPr>
        <w:ind w:left="720" w:hanging="720"/>
      </w:pPr>
      <w:r>
        <w:rPr>
          <w:i w:val="false"/>
          <w:iCs w:val="false"/>
        </w:rPr>
        <w:t xml:space="preserve">International Organization for Standardization e International Electrotechnical Commission. (2022a). </w:t>
      </w:r>
      <w:r>
        <w:rPr>
          <w:i/>
          <w:iCs/>
        </w:rPr>
        <w:t xml:space="preserve">Information security, cybersecurity and privacy protection — Information security management systems — Requirements</w:t>
      </w:r>
      <w:r>
        <w:rPr>
          <w:i w:val="false"/>
          <w:iCs w:val="false"/>
        </w:rPr>
        <w:t xml:space="preserve"> (ISO/IEC 27001:2022). https://www.iso.org/standard/27001</w:t>
      </w:r>
    </w:p>
    <w:p>
      <w:pPr>
        <w:ind w:left="720" w:hanging="720"/>
      </w:pPr>
      <w:r>
        <w:rPr>
          <w:i w:val="false"/>
          <w:iCs w:val="false"/>
        </w:rPr>
        <w:t xml:space="preserve">International Organization for Standardization e International Electrotechnical Commission. (2022b). </w:t>
      </w:r>
      <w:r>
        <w:rPr>
          <w:i/>
          <w:iCs/>
        </w:rPr>
        <w:t xml:space="preserve">Information security, cybersecurity and privacy protection — Guidance on managing information security risks</w:t>
      </w:r>
      <w:r>
        <w:rPr>
          <w:i w:val="false"/>
          <w:iCs w:val="false"/>
        </w:rPr>
        <w:t xml:space="preserve"> (ISO/IEC 27005:2022). https://www.iso.org/standard/80585.html</w:t>
      </w:r>
    </w:p>
    <w:p>
      <w:pPr>
        <w:ind w:left="720" w:hanging="720"/>
      </w:pPr>
      <w:r>
        <w:rPr>
          <w:i w:val="false"/>
          <w:iCs w:val="false"/>
        </w:rPr>
        <w:t xml:space="preserve">Joint Task Force Transformation Initiative. (2012). </w:t>
      </w:r>
      <w:r>
        <w:rPr>
          <w:i/>
          <w:iCs/>
        </w:rPr>
        <w:t xml:space="preserve">Guide for conducting risk assessments</w:t>
      </w:r>
      <w:r>
        <w:rPr>
          <w:i w:val="false"/>
          <w:iCs w:val="false"/>
        </w:rPr>
        <w:t xml:space="preserve"> (NIST SP 800-30 Rev. 1). National Institute of Standards and Technology. https://doi.org/10.6028/NIST.SP.800-30r1</w:t>
      </w:r>
    </w:p>
    <w:p>
      <w:pPr>
        <w:ind w:left="720" w:hanging="720"/>
      </w:pPr>
      <w:r>
        <w:rPr>
          <w:i w:val="false"/>
          <w:iCs w:val="false"/>
        </w:rPr>
        <w:t xml:space="preserve">Junta Monetaria. (2021). </w:t>
      </w:r>
      <w:r>
        <w:rPr>
          <w:i/>
          <w:iCs/>
        </w:rPr>
        <w:t xml:space="preserve">Resolución JM-104-2021: Reglamento para la Administración del Riesgo Tecnológico</w:t>
      </w:r>
      <w:r>
        <w:rPr>
          <w:i w:val="false"/>
          <w:iCs w:val="false"/>
        </w:rPr>
        <w:t xml:space="preserve">. Banco de Guatemala. https://banguat.gob.gt/sites/default/files/banguat/Publica/Res_JM/2021/Res_JM-104-2021.pdf</w:t>
      </w:r>
    </w:p>
    <w:p>
      <w:pPr>
        <w:ind w:left="720" w:hanging="720"/>
      </w:pPr>
      <w:r>
        <w:rPr>
          <w:i w:val="false"/>
          <w:iCs w:val="false"/>
        </w:rPr>
        <w:t xml:space="preserve">National Institute of Standards and Technology. (2024). </w:t>
      </w:r>
      <w:r>
        <w:rPr>
          <w:i/>
          <w:iCs/>
        </w:rPr>
        <w:t xml:space="preserve">The NIST Cybersecurity Framework (CSF) 2.0</w:t>
      </w:r>
      <w:r>
        <w:rPr>
          <w:i w:val="false"/>
          <w:iCs w:val="false"/>
        </w:rPr>
        <w:t xml:space="preserve"> (NIST CSWP 29). https://doi.org/10.6028/NIST.CSWP.29</w:t>
      </w:r>
    </w:p>
    <w:p>
      <w:pPr>
        <w:ind w:left="720" w:hanging="720"/>
      </w:pPr>
      <w:r>
        <w:rPr>
          <w:i w:val="false"/>
          <w:iCs w:val="false"/>
        </w:rPr>
        <w:t xml:space="preserve">OWASP Foundation. (s. f.). </w:t>
      </w:r>
      <w:r>
        <w:rPr>
          <w:i/>
          <w:iCs/>
        </w:rPr>
        <w:t xml:space="preserve">OWASP Web Security Testing Guide (WSTG)</w:t>
      </w:r>
      <w:r>
        <w:rPr>
          <w:i w:val="false"/>
          <w:iCs w:val="false"/>
        </w:rPr>
        <w:t xml:space="preserve">. https://owasp.org/www-project-web-security-testing-guide/</w:t>
      </w:r>
    </w:p>
    <w:p>
      <w:pPr>
        <w:ind w:left="720" w:hanging="720"/>
      </w:pPr>
      <w:r>
        <w:rPr>
          <w:i w:val="false"/>
          <w:iCs w:val="false"/>
        </w:rPr>
        <w:t xml:space="preserve">OWASP Foundation. (2023). </w:t>
      </w:r>
      <w:r>
        <w:rPr>
          <w:i/>
          <w:iCs/>
        </w:rPr>
        <w:t xml:space="preserve">OWASP API Security Top 10 2023</w:t>
      </w:r>
      <w:r>
        <w:rPr>
          <w:i w:val="false"/>
          <w:iCs w:val="false"/>
        </w:rPr>
        <w:t xml:space="preserve">. https://owasp.org/API-Security/editions/2023/en/0x11-t10/</w:t>
      </w:r>
    </w:p>
    <w:p>
      <w:pPr>
        <w:ind w:left="720" w:hanging="720"/>
      </w:pPr>
      <w:r>
        <w:rPr>
          <w:i w:val="false"/>
          <w:iCs w:val="false"/>
        </w:rPr>
        <w:t xml:space="preserve">OWASP Foundation. (2024). </w:t>
      </w:r>
      <w:r>
        <w:rPr>
          <w:i/>
          <w:iCs/>
        </w:rPr>
        <w:t xml:space="preserve">OWASP Threat Dragon</w:t>
      </w:r>
      <w:r>
        <w:rPr>
          <w:i w:val="false"/>
          <w:iCs w:val="false"/>
        </w:rPr>
        <w:t xml:space="preserve">. https://owasp.org/www-project-threat-dragon/</w:t>
      </w:r>
    </w:p>
    <w:p>
      <w:pPr>
        <w:ind w:left="720" w:hanging="720"/>
      </w:pPr>
      <w:r>
        <w:rPr>
          <w:i w:val="false"/>
          <w:iCs w:val="false"/>
        </w:rPr>
        <w:t xml:space="preserve">OWASP Foundation. (2025). </w:t>
      </w:r>
      <w:r>
        <w:rPr>
          <w:i/>
          <w:iCs/>
        </w:rPr>
        <w:t xml:space="preserve">OWASP Top 10:2025</w:t>
      </w:r>
      <w:r>
        <w:rPr>
          <w:i w:val="false"/>
          <w:iCs w:val="false"/>
        </w:rPr>
        <w:t xml:space="preserve">. https://owasp.org/Top10/2025/</w:t>
      </w:r>
    </w:p>
    <w:p>
      <w:pPr>
        <w:ind w:left="720" w:hanging="720"/>
      </w:pPr>
      <w:r>
        <w:rPr>
          <w:i w:val="false"/>
          <w:iCs w:val="false"/>
        </w:rPr>
        <w:t xml:space="preserve">OWASP Mobile Application Security Project. (2024). </w:t>
      </w:r>
      <w:r>
        <w:rPr>
          <w:i/>
          <w:iCs/>
        </w:rPr>
        <w:t xml:space="preserve">OWASP Mobile Application Security Verification Standard (MASVS)</w:t>
      </w:r>
      <w:r>
        <w:rPr>
          <w:i w:val="false"/>
          <w:iCs w:val="false"/>
        </w:rPr>
        <w:t xml:space="preserve"> (versión 2.1.0). https://mas.owasp.org/MASVS/</w:t>
      </w:r>
    </w:p>
    <w:p>
      <w:pPr>
        <w:ind w:left="720" w:hanging="720"/>
      </w:pPr>
      <w:r>
        <w:rPr>
          <w:i w:val="false"/>
          <w:iCs w:val="false"/>
        </w:rPr>
        <w:t xml:space="preserve">PCI Security Standards Council. (2024). </w:t>
      </w:r>
      <w:r>
        <w:rPr>
          <w:i/>
          <w:iCs/>
        </w:rPr>
        <w:t xml:space="preserve">Payment Card Industry Data Security Standard</w:t>
      </w:r>
      <w:r>
        <w:rPr>
          <w:i w:val="false"/>
          <w:iCs w:val="false"/>
        </w:rPr>
        <w:t xml:space="preserve"> (versión 4.0.1). https://www.pcisecuritystandards.org/</w:t>
      </w:r>
    </w:p>
    <w:p>
      <w:pPr>
        <w:ind w:left="720" w:hanging="720"/>
      </w:pPr>
      <w:r>
        <w:rPr>
          <w:i w:val="false"/>
          <w:iCs w:val="false"/>
        </w:rPr>
        <w:t xml:space="preserve">Scarfone, K., Souppaya, M., Cody, A. y Orebaugh, A. (2008). </w:t>
      </w:r>
      <w:r>
        <w:rPr>
          <w:i/>
          <w:iCs/>
        </w:rPr>
        <w:t xml:space="preserve">Technical guide to information security testing and assessment</w:t>
      </w:r>
      <w:r>
        <w:rPr>
          <w:i w:val="false"/>
          <w:iCs w:val="false"/>
        </w:rPr>
        <w:t xml:space="preserve"> (NIST SP 800-115). National Institute of Standards and Technology. https://doi.org/10.6028/NIST.SP.800-115</w:t>
      </w:r>
    </w:p>
    <w:p>
      <w:pPr>
        <w:ind w:left="720" w:hanging="720"/>
      </w:pPr>
      <w:r>
        <w:rPr>
          <w:i w:val="false"/>
          <w:iCs w:val="false"/>
        </w:rPr>
        <w:t xml:space="preserve">Shostack, A. (2014). </w:t>
      </w:r>
      <w:r>
        <w:rPr>
          <w:i/>
          <w:iCs/>
        </w:rPr>
        <w:t xml:space="preserve">Threat modeling: Designing for security</w:t>
      </w:r>
      <w:r>
        <w:rPr>
          <w:i w:val="false"/>
          <w:iCs w:val="false"/>
        </w:rPr>
        <w:t xml:space="preserve">. Wiley.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 w:line="360"/>
      <w:jc w:val="center"/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TOC1">
    <w:name w:val="toc 1"/>
    <w:basedOn w:val="Normal"/>
    <w:next w:val="Normal"/>
    <w:pPr>
      <w:tabs>
        <w:tab w:val="right" w:pos="9360" w:leader="dot"/>
      </w:tabs>
    </w:pPr>
    <w:rPr>
      <w:rFonts w:ascii="Arial" w:cs="Arial" w:eastAsia="Arial" w:hAnsi="Arial"/>
      <w:sz w:val="24"/>
      <w:szCs w:val="24"/>
    </w:rPr>
  </w:style>
  <w:style w:type="paragraph" w:styleId="TOC2">
    <w:name w:val="toc 2"/>
    <w:basedOn w:val="Normal"/>
    <w:next w:val="Normal"/>
    <w:pPr>
      <w:tabs>
        <w:tab w:val="right" w:pos="9360" w:leader="dot"/>
      </w:tabs>
      <w:ind w:left="360"/>
    </w:pPr>
    <w:rPr>
      <w:rFonts w:ascii="Arial" w:cs="Arial" w:eastAsia="Arial" w:hAnsi="Arial"/>
      <w:sz w:val="24"/>
      <w:szCs w:val="24"/>
    </w:rPr>
  </w:style>
  <w:style w:type="paragraph" w:styleId="TOC3">
    <w:name w:val="toc 3"/>
    <w:basedOn w:val="Normal"/>
    <w:next w:val="Normal"/>
    <w:pPr>
      <w:tabs>
        <w:tab w:val="right" w:pos="9360" w:leader="dot"/>
      </w:tabs>
      <w:ind w:left="720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Grupo Q-Wallet</dc:creator>
  <cp:lastModifiedBy>Un-named</cp:lastModifiedBy>
  <cp:revision>1</cp:revision>
  <dcterms:created xsi:type="dcterms:W3CDTF">2026-10-14T03:11:59.376Z</dcterms:created>
  <dcterms:modified xsi:type="dcterms:W3CDTF">2026-10-14T03:11:59.376Z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