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71957" w14:textId="77777777" w:rsidR="00094458" w:rsidRDefault="00000000">
      <w:pPr>
        <w:pStyle w:val="Title"/>
      </w:pPr>
      <w:r>
        <w:rPr>
          <w:rFonts w:ascii="Aptos" w:hAnsi="Aptos"/>
        </w:rPr>
        <w:t>Pop-Up Event Planning</w:t>
      </w:r>
    </w:p>
    <w:p w14:paraId="14A41D89" w14:textId="77777777" w:rsidR="00094458" w:rsidRDefault="00000000">
      <w:pPr>
        <w:pStyle w:val="SubtitleCustom"/>
      </w:pPr>
      <w:r>
        <w:t>Planning considerations for a food or hospitality pop-up, from concept through closeout</w:t>
      </w:r>
    </w:p>
    <w:p w14:paraId="6A394800" w14:textId="77777777" w:rsidR="00094458" w:rsidRDefault="00000000">
      <w:pPr>
        <w:pStyle w:val="Heading1"/>
      </w:pPr>
      <w:r>
        <w:rPr>
          <w:rFonts w:ascii="Aptos" w:hAnsi="Aptos"/>
        </w:rPr>
        <w:t>1. Get Clear on the Event Before You Spend Money</w:t>
      </w:r>
    </w:p>
    <w:p w14:paraId="328C0E21" w14:textId="6B3ACE95" w:rsidR="00094458" w:rsidRDefault="00000000">
      <w:r>
        <w:t>Do</w:t>
      </w:r>
      <w:r w:rsidR="000C72C2">
        <w:t>n't start</w:t>
      </w:r>
      <w:r>
        <w:t xml:space="preserve"> with decorations, flyers, equipment rentals, or a large food order. Begin by defining the event itself. You should be able to explain the pop-up in a few sentences: what it is, who it is for, what you are selling, where it will happen, how guests will buy, and what a successful event looks like.</w:t>
      </w:r>
    </w:p>
    <w:p w14:paraId="4206D191" w14:textId="77777777" w:rsidR="00094458" w:rsidRDefault="00000000">
      <w:r>
        <w:t>Before committing money, confirm these points:</w:t>
      </w:r>
    </w:p>
    <w:p w14:paraId="1AA28FC1" w14:textId="77777777" w:rsidR="00094458" w:rsidRDefault="00000000" w:rsidP="00314013">
      <w:pPr>
        <w:pStyle w:val="ListBullet"/>
        <w:numPr>
          <w:ilvl w:val="0"/>
          <w:numId w:val="21"/>
        </w:numPr>
        <w:spacing w:after="50"/>
      </w:pPr>
      <w:r>
        <w:t>The purpose of the pop-up: revenue, concept testing, brand exposure, collaboration, menu launch, fundraising, or another specific goal.</w:t>
      </w:r>
    </w:p>
    <w:p w14:paraId="69719E0D" w14:textId="77777777" w:rsidR="00094458" w:rsidRDefault="00000000" w:rsidP="00314013">
      <w:pPr>
        <w:pStyle w:val="ListBullet"/>
        <w:numPr>
          <w:ilvl w:val="0"/>
          <w:numId w:val="21"/>
        </w:numPr>
        <w:spacing w:after="50"/>
      </w:pPr>
      <w:r>
        <w:t>The customer you expect to attend and why the event should appeal to that customer.</w:t>
      </w:r>
    </w:p>
    <w:p w14:paraId="46C948BE" w14:textId="77777777" w:rsidR="00094458" w:rsidRDefault="00000000" w:rsidP="00314013">
      <w:pPr>
        <w:pStyle w:val="ListBullet"/>
        <w:numPr>
          <w:ilvl w:val="0"/>
          <w:numId w:val="21"/>
        </w:numPr>
        <w:spacing w:after="50"/>
      </w:pPr>
      <w:r>
        <w:t>The event format: walk-up service, reservations, prepaid tickets, seated dining, takeout, tasting, market booth, or another format.</w:t>
      </w:r>
    </w:p>
    <w:p w14:paraId="32F869B4" w14:textId="77777777" w:rsidR="00094458" w:rsidRDefault="00000000" w:rsidP="00314013">
      <w:pPr>
        <w:pStyle w:val="ListBullet"/>
        <w:numPr>
          <w:ilvl w:val="0"/>
          <w:numId w:val="21"/>
        </w:numPr>
        <w:spacing w:after="50"/>
      </w:pPr>
      <w:r>
        <w:t>The expected number of guests, the realistic service capacity, and the maximum capacity allowed by the venue.</w:t>
      </w:r>
    </w:p>
    <w:p w14:paraId="7EFBFF92" w14:textId="77777777" w:rsidR="00094458" w:rsidRDefault="00000000" w:rsidP="00314013">
      <w:pPr>
        <w:pStyle w:val="ListBullet"/>
        <w:numPr>
          <w:ilvl w:val="0"/>
          <w:numId w:val="21"/>
        </w:numPr>
        <w:spacing w:after="50"/>
      </w:pPr>
      <w:r>
        <w:t xml:space="preserve">Your average expected customer </w:t>
      </w:r>
      <w:proofErr w:type="gramStart"/>
      <w:r>
        <w:t>spend</w:t>
      </w:r>
      <w:proofErr w:type="gramEnd"/>
      <w:r>
        <w:t xml:space="preserve"> and the sales level you need for the event to make financial sense.</w:t>
      </w:r>
    </w:p>
    <w:p w14:paraId="2488746F" w14:textId="77777777" w:rsidR="00094458" w:rsidRDefault="00000000" w:rsidP="00314013">
      <w:pPr>
        <w:pStyle w:val="ListBullet"/>
        <w:numPr>
          <w:ilvl w:val="0"/>
          <w:numId w:val="21"/>
        </w:numPr>
        <w:spacing w:after="50"/>
      </w:pPr>
      <w:r>
        <w:t>The exact service hours, plus setup and breakdown time.</w:t>
      </w:r>
    </w:p>
    <w:tbl>
      <w:tblPr>
        <w:tblW w:w="0" w:type="auto"/>
        <w:jc w:val="center"/>
        <w:tblLayout w:type="fixed"/>
        <w:tblLook w:val="04A0" w:firstRow="1" w:lastRow="0" w:firstColumn="1" w:lastColumn="0" w:noHBand="0" w:noVBand="1"/>
      </w:tblPr>
      <w:tblGrid>
        <w:gridCol w:w="9878"/>
      </w:tblGrid>
      <w:tr w:rsidR="00094458" w14:paraId="4ADEE0A0" w14:textId="77777777">
        <w:trPr>
          <w:cantSplit/>
          <w:jc w:val="center"/>
        </w:trPr>
        <w:tc>
          <w:tcPr>
            <w:tcW w:w="9878" w:type="dxa"/>
            <w:shd w:val="clear" w:color="auto" w:fill="EAF1F8"/>
            <w:tcMar>
              <w:top w:w="120" w:type="dxa"/>
              <w:left w:w="150" w:type="dxa"/>
              <w:bottom w:w="120" w:type="dxa"/>
              <w:right w:w="150" w:type="dxa"/>
            </w:tcMar>
          </w:tcPr>
          <w:p w14:paraId="21E78B7C" w14:textId="0C1DA432" w:rsidR="00094458" w:rsidRDefault="00000000">
            <w:pPr>
              <w:pStyle w:val="Callout"/>
            </w:pPr>
            <w:r>
              <w:rPr>
                <w:b/>
                <w:color w:val="17365D"/>
              </w:rPr>
              <w:t xml:space="preserve">Important: </w:t>
            </w:r>
            <w:r>
              <w:t>Attendance and capacity are not the same thing. A room may legally hold 100 people</w:t>
            </w:r>
            <w:r w:rsidR="000C72C2">
              <w:t>, but your kitchen or service line may</w:t>
            </w:r>
            <w:r>
              <w:t xml:space="preserve"> only handle 50 orders in the time available.</w:t>
            </w:r>
          </w:p>
        </w:tc>
      </w:tr>
    </w:tbl>
    <w:p w14:paraId="612BB475" w14:textId="77777777" w:rsidR="00094458" w:rsidRDefault="00000000">
      <w:pPr>
        <w:pStyle w:val="Heading1"/>
      </w:pPr>
      <w:r>
        <w:rPr>
          <w:rFonts w:ascii="Aptos" w:hAnsi="Aptos"/>
        </w:rPr>
        <w:t xml:space="preserve">2. Build the Timeline Backward </w:t>
      </w:r>
      <w:proofErr w:type="gramStart"/>
      <w:r>
        <w:rPr>
          <w:rFonts w:ascii="Aptos" w:hAnsi="Aptos"/>
        </w:rPr>
        <w:t>From</w:t>
      </w:r>
      <w:proofErr w:type="gramEnd"/>
      <w:r>
        <w:rPr>
          <w:rFonts w:ascii="Aptos" w:hAnsi="Aptos"/>
        </w:rPr>
        <w:t xml:space="preserve"> Event Day</w:t>
      </w:r>
    </w:p>
    <w:p w14:paraId="64B6C524" w14:textId="4C64D4B1" w:rsidR="00094458" w:rsidRDefault="000C72C2">
      <w:r>
        <w:t>A pop-up deadline is usually fixed. Work backward from the event date and set deadlines for every major decision. Permit applications, venue approvals, insurance certificates, vendor deposits, printing, and product orders may all require lead time.</w:t>
      </w:r>
    </w:p>
    <w:tbl>
      <w:tblPr>
        <w:tblStyle w:val="TableGrid"/>
        <w:tblW w:w="10795" w:type="dxa"/>
        <w:jc w:val="center"/>
        <w:tblLayout w:type="fixed"/>
        <w:tblLook w:val="04A0" w:firstRow="1" w:lastRow="0" w:firstColumn="1" w:lastColumn="0" w:noHBand="0" w:noVBand="1"/>
      </w:tblPr>
      <w:tblGrid>
        <w:gridCol w:w="1540"/>
        <w:gridCol w:w="9255"/>
      </w:tblGrid>
      <w:tr w:rsidR="00094458" w14:paraId="7E76D812" w14:textId="77777777" w:rsidTr="00314013">
        <w:trPr>
          <w:cantSplit/>
          <w:trHeight w:val="578"/>
          <w:jc w:val="center"/>
        </w:trPr>
        <w:tc>
          <w:tcPr>
            <w:tcW w:w="1540" w:type="dxa"/>
            <w:shd w:val="clear" w:color="auto" w:fill="17365D"/>
            <w:tcMar>
              <w:top w:w="90" w:type="dxa"/>
              <w:left w:w="110" w:type="dxa"/>
              <w:bottom w:w="90" w:type="dxa"/>
              <w:right w:w="110" w:type="dxa"/>
            </w:tcMar>
          </w:tcPr>
          <w:p w14:paraId="52B5F1B6" w14:textId="77777777" w:rsidR="00094458" w:rsidRDefault="00000000" w:rsidP="005B0857">
            <w:r>
              <w:rPr>
                <w:b/>
                <w:color w:val="FFFFFF"/>
                <w:sz w:val="18"/>
              </w:rPr>
              <w:t>Timing</w:t>
            </w:r>
          </w:p>
        </w:tc>
        <w:tc>
          <w:tcPr>
            <w:tcW w:w="9255" w:type="dxa"/>
            <w:shd w:val="clear" w:color="auto" w:fill="17365D"/>
            <w:tcMar>
              <w:top w:w="90" w:type="dxa"/>
              <w:left w:w="110" w:type="dxa"/>
              <w:bottom w:w="90" w:type="dxa"/>
              <w:right w:w="110" w:type="dxa"/>
            </w:tcMar>
          </w:tcPr>
          <w:p w14:paraId="2906A1B8" w14:textId="07A16DF2" w:rsidR="00094458" w:rsidRDefault="00000000" w:rsidP="005B0857">
            <w:r>
              <w:rPr>
                <w:b/>
                <w:color w:val="FFFFFF"/>
                <w:sz w:val="18"/>
              </w:rPr>
              <w:t>What should be settled</w:t>
            </w:r>
            <w:r w:rsidR="000C72C2">
              <w:rPr>
                <w:b/>
                <w:color w:val="FFFFFF"/>
                <w:sz w:val="18"/>
              </w:rPr>
              <w:t>?</w:t>
            </w:r>
          </w:p>
        </w:tc>
      </w:tr>
      <w:tr w:rsidR="00094458" w14:paraId="7D42C43C" w14:textId="77777777" w:rsidTr="00314013">
        <w:trPr>
          <w:cantSplit/>
          <w:trHeight w:val="804"/>
          <w:jc w:val="center"/>
        </w:trPr>
        <w:tc>
          <w:tcPr>
            <w:tcW w:w="1540" w:type="dxa"/>
            <w:shd w:val="clear" w:color="auto" w:fill="F3F5F7"/>
            <w:tcMar>
              <w:top w:w="90" w:type="dxa"/>
              <w:left w:w="110" w:type="dxa"/>
              <w:bottom w:w="90" w:type="dxa"/>
              <w:right w:w="110" w:type="dxa"/>
            </w:tcMar>
          </w:tcPr>
          <w:p w14:paraId="304C2EA4" w14:textId="77777777" w:rsidR="00094458" w:rsidRDefault="00000000" w:rsidP="005B0857">
            <w:r>
              <w:rPr>
                <w:b/>
                <w:sz w:val="18"/>
              </w:rPr>
              <w:t>6-8+ weeks out</w:t>
            </w:r>
          </w:p>
        </w:tc>
        <w:tc>
          <w:tcPr>
            <w:tcW w:w="9255" w:type="dxa"/>
            <w:tcMar>
              <w:top w:w="90" w:type="dxa"/>
              <w:left w:w="110" w:type="dxa"/>
              <w:bottom w:w="90" w:type="dxa"/>
              <w:right w:w="110" w:type="dxa"/>
            </w:tcMar>
          </w:tcPr>
          <w:p w14:paraId="75A6060B" w14:textId="77777777" w:rsidR="00094458" w:rsidRDefault="00000000" w:rsidP="005B0857">
            <w:r>
              <w:rPr>
                <w:sz w:val="18"/>
              </w:rPr>
              <w:t>Confirm concept, date, budget range, venue options, permit needs, insurance needs, event format, and preliminary menu.</w:t>
            </w:r>
          </w:p>
        </w:tc>
      </w:tr>
      <w:tr w:rsidR="00094458" w14:paraId="665D310F" w14:textId="77777777" w:rsidTr="00314013">
        <w:trPr>
          <w:cantSplit/>
          <w:trHeight w:val="779"/>
          <w:jc w:val="center"/>
        </w:trPr>
        <w:tc>
          <w:tcPr>
            <w:tcW w:w="1540" w:type="dxa"/>
            <w:shd w:val="clear" w:color="auto" w:fill="F3F5F7"/>
            <w:tcMar>
              <w:top w:w="90" w:type="dxa"/>
              <w:left w:w="110" w:type="dxa"/>
              <w:bottom w:w="90" w:type="dxa"/>
              <w:right w:w="110" w:type="dxa"/>
            </w:tcMar>
          </w:tcPr>
          <w:p w14:paraId="056F35E6" w14:textId="77777777" w:rsidR="00094458" w:rsidRDefault="00000000" w:rsidP="005B0857">
            <w:r>
              <w:rPr>
                <w:b/>
                <w:sz w:val="18"/>
              </w:rPr>
              <w:t>4-6 weeks out</w:t>
            </w:r>
          </w:p>
        </w:tc>
        <w:tc>
          <w:tcPr>
            <w:tcW w:w="9255" w:type="dxa"/>
            <w:tcMar>
              <w:top w:w="90" w:type="dxa"/>
              <w:left w:w="110" w:type="dxa"/>
              <w:bottom w:w="90" w:type="dxa"/>
              <w:right w:w="110" w:type="dxa"/>
            </w:tcMar>
          </w:tcPr>
          <w:p w14:paraId="16737506" w14:textId="77777777" w:rsidR="00094458" w:rsidRDefault="00000000" w:rsidP="005B0857">
            <w:r>
              <w:rPr>
                <w:sz w:val="18"/>
              </w:rPr>
              <w:t>Secure the venue, start permit applications, confirm vendors, finalize the service model, begin marketing, and confirm equipment needs.</w:t>
            </w:r>
          </w:p>
        </w:tc>
      </w:tr>
      <w:tr w:rsidR="00094458" w14:paraId="456BAD82" w14:textId="77777777" w:rsidTr="00314013">
        <w:trPr>
          <w:cantSplit/>
          <w:trHeight w:val="402"/>
          <w:jc w:val="center"/>
        </w:trPr>
        <w:tc>
          <w:tcPr>
            <w:tcW w:w="1540" w:type="dxa"/>
            <w:shd w:val="clear" w:color="auto" w:fill="F3F5F7"/>
            <w:tcMar>
              <w:top w:w="90" w:type="dxa"/>
              <w:left w:w="110" w:type="dxa"/>
              <w:bottom w:w="90" w:type="dxa"/>
              <w:right w:w="110" w:type="dxa"/>
            </w:tcMar>
          </w:tcPr>
          <w:p w14:paraId="202FEA09" w14:textId="77777777" w:rsidR="00094458" w:rsidRDefault="00000000" w:rsidP="005B0857">
            <w:r>
              <w:rPr>
                <w:b/>
                <w:sz w:val="18"/>
              </w:rPr>
              <w:t>2-4 weeks out</w:t>
            </w:r>
          </w:p>
        </w:tc>
        <w:tc>
          <w:tcPr>
            <w:tcW w:w="9255" w:type="dxa"/>
            <w:tcMar>
              <w:top w:w="90" w:type="dxa"/>
              <w:left w:w="110" w:type="dxa"/>
              <w:bottom w:w="90" w:type="dxa"/>
              <w:right w:w="110" w:type="dxa"/>
            </w:tcMar>
          </w:tcPr>
          <w:p w14:paraId="69323016" w14:textId="77777777" w:rsidR="00094458" w:rsidRDefault="00000000" w:rsidP="005B0857">
            <w:r>
              <w:rPr>
                <w:sz w:val="18"/>
              </w:rPr>
              <w:t>Finalize pricing, staffing, ordering plan, production plan, rentals, signage, ticketing/reservations, and guest-flow plan.</w:t>
            </w:r>
          </w:p>
        </w:tc>
      </w:tr>
      <w:tr w:rsidR="00094458" w14:paraId="4B1790D6" w14:textId="77777777" w:rsidTr="00314013">
        <w:trPr>
          <w:cantSplit/>
          <w:trHeight w:val="779"/>
          <w:jc w:val="center"/>
        </w:trPr>
        <w:tc>
          <w:tcPr>
            <w:tcW w:w="1540" w:type="dxa"/>
            <w:shd w:val="clear" w:color="auto" w:fill="F3F5F7"/>
            <w:tcMar>
              <w:top w:w="90" w:type="dxa"/>
              <w:left w:w="110" w:type="dxa"/>
              <w:bottom w:w="90" w:type="dxa"/>
              <w:right w:w="110" w:type="dxa"/>
            </w:tcMar>
          </w:tcPr>
          <w:p w14:paraId="4EEC352F" w14:textId="77777777" w:rsidR="00094458" w:rsidRDefault="00000000" w:rsidP="005B0857">
            <w:r>
              <w:rPr>
                <w:b/>
                <w:sz w:val="18"/>
              </w:rPr>
              <w:lastRenderedPageBreak/>
              <w:t>1 week out</w:t>
            </w:r>
          </w:p>
        </w:tc>
        <w:tc>
          <w:tcPr>
            <w:tcW w:w="9255" w:type="dxa"/>
            <w:tcMar>
              <w:top w:w="90" w:type="dxa"/>
              <w:left w:w="110" w:type="dxa"/>
              <w:bottom w:w="90" w:type="dxa"/>
              <w:right w:w="110" w:type="dxa"/>
            </w:tcMar>
          </w:tcPr>
          <w:p w14:paraId="56C12790" w14:textId="77777777" w:rsidR="00094458" w:rsidRDefault="00000000" w:rsidP="005B0857">
            <w:r>
              <w:rPr>
                <w:sz w:val="18"/>
              </w:rPr>
              <w:t>Confirm headcount or sales forecast, vendor deliveries, staff schedule, equipment, permits, payment system, packing list, and contingency supplies.</w:t>
            </w:r>
          </w:p>
        </w:tc>
      </w:tr>
      <w:tr w:rsidR="00094458" w14:paraId="5E57EADA" w14:textId="77777777" w:rsidTr="00314013">
        <w:trPr>
          <w:cantSplit/>
          <w:trHeight w:val="779"/>
          <w:jc w:val="center"/>
        </w:trPr>
        <w:tc>
          <w:tcPr>
            <w:tcW w:w="1540" w:type="dxa"/>
            <w:shd w:val="clear" w:color="auto" w:fill="F3F5F7"/>
            <w:tcMar>
              <w:top w:w="90" w:type="dxa"/>
              <w:left w:w="110" w:type="dxa"/>
              <w:bottom w:w="90" w:type="dxa"/>
              <w:right w:w="110" w:type="dxa"/>
            </w:tcMar>
          </w:tcPr>
          <w:p w14:paraId="621C2D31" w14:textId="77777777" w:rsidR="00094458" w:rsidRDefault="00000000" w:rsidP="005B0857">
            <w:r>
              <w:rPr>
                <w:b/>
                <w:sz w:val="18"/>
              </w:rPr>
              <w:t>1-2 days out</w:t>
            </w:r>
          </w:p>
        </w:tc>
        <w:tc>
          <w:tcPr>
            <w:tcW w:w="9255" w:type="dxa"/>
            <w:tcMar>
              <w:top w:w="90" w:type="dxa"/>
              <w:left w:w="110" w:type="dxa"/>
              <w:bottom w:w="90" w:type="dxa"/>
              <w:right w:w="110" w:type="dxa"/>
            </w:tcMar>
          </w:tcPr>
          <w:p w14:paraId="6DFEADA1" w14:textId="77777777" w:rsidR="00094458" w:rsidRDefault="00000000" w:rsidP="005B0857">
            <w:r>
              <w:rPr>
                <w:sz w:val="18"/>
              </w:rPr>
              <w:t>Complete permitted advance prep, verify purchases, charge devices, print lists/signage, pack nonfood supplies, and re-confirm venue access.</w:t>
            </w:r>
          </w:p>
        </w:tc>
      </w:tr>
      <w:tr w:rsidR="00094458" w14:paraId="631AC5CC" w14:textId="77777777" w:rsidTr="00314013">
        <w:trPr>
          <w:cantSplit/>
          <w:trHeight w:val="779"/>
          <w:jc w:val="center"/>
        </w:trPr>
        <w:tc>
          <w:tcPr>
            <w:tcW w:w="1540" w:type="dxa"/>
            <w:shd w:val="clear" w:color="auto" w:fill="F3F5F7"/>
            <w:tcMar>
              <w:top w:w="90" w:type="dxa"/>
              <w:left w:w="110" w:type="dxa"/>
              <w:bottom w:w="90" w:type="dxa"/>
              <w:right w:w="110" w:type="dxa"/>
            </w:tcMar>
          </w:tcPr>
          <w:p w14:paraId="6DD9A6A7" w14:textId="77777777" w:rsidR="00094458" w:rsidRDefault="00000000" w:rsidP="005B0857">
            <w:r>
              <w:rPr>
                <w:b/>
                <w:sz w:val="18"/>
              </w:rPr>
              <w:t>Event day</w:t>
            </w:r>
          </w:p>
        </w:tc>
        <w:tc>
          <w:tcPr>
            <w:tcW w:w="9255" w:type="dxa"/>
            <w:tcMar>
              <w:top w:w="90" w:type="dxa"/>
              <w:left w:w="110" w:type="dxa"/>
              <w:bottom w:w="90" w:type="dxa"/>
              <w:right w:w="110" w:type="dxa"/>
            </w:tcMar>
          </w:tcPr>
          <w:p w14:paraId="51DB3F5D" w14:textId="77777777" w:rsidR="00094458" w:rsidRDefault="00000000" w:rsidP="005B0857">
            <w:r>
              <w:rPr>
                <w:sz w:val="18"/>
              </w:rPr>
              <w:t>Receive, transport, set up, verify food safety and equipment, brief staff, operate service, monitor inventory, close, clean, and document results.</w:t>
            </w:r>
          </w:p>
        </w:tc>
      </w:tr>
    </w:tbl>
    <w:p w14:paraId="15231C59" w14:textId="77777777" w:rsidR="00094458" w:rsidRDefault="00094458">
      <w:pPr>
        <w:spacing w:after="20"/>
      </w:pPr>
    </w:p>
    <w:p w14:paraId="7F0331C2" w14:textId="77777777" w:rsidR="00094458" w:rsidRDefault="00000000">
      <w:pPr>
        <w:pStyle w:val="Heading1"/>
      </w:pPr>
      <w:r>
        <w:rPr>
          <w:rFonts w:ascii="Aptos" w:hAnsi="Aptos"/>
        </w:rPr>
        <w:t>3. Do Not Choose a Venue on Appearance Alone</w:t>
      </w:r>
    </w:p>
    <w:p w14:paraId="3898DEDB" w14:textId="77777777" w:rsidR="00094458" w:rsidRDefault="00000000">
      <w:r>
        <w:t>The venue is an operating environment, not just a backdrop. Before signing or paying a deposit, find out exactly what is included and what is prohibited. Get the important details in writing. A low rental price can become expensive if you later discover that you need to rent refrigeration, tables, electrical distribution, security, or cleaning services.</w:t>
      </w:r>
    </w:p>
    <w:p w14:paraId="5BAA494E" w14:textId="77777777" w:rsidR="00094458" w:rsidRDefault="00000000">
      <w:r>
        <w:t>Confirm all of the following with the venue:</w:t>
      </w:r>
    </w:p>
    <w:p w14:paraId="2ECB15B2" w14:textId="77777777" w:rsidR="00094458" w:rsidRDefault="00000000" w:rsidP="005B0857">
      <w:pPr>
        <w:pStyle w:val="ListBullet"/>
        <w:numPr>
          <w:ilvl w:val="0"/>
          <w:numId w:val="10"/>
        </w:numPr>
        <w:spacing w:after="50"/>
      </w:pPr>
      <w:r>
        <w:t>Total rental fee, deposit, due dates, cancellation terms, overtime charges, and damage/cleaning charges.</w:t>
      </w:r>
    </w:p>
    <w:p w14:paraId="400C17C5" w14:textId="77777777" w:rsidR="00094458" w:rsidRDefault="00000000" w:rsidP="005B0857">
      <w:pPr>
        <w:pStyle w:val="ListBullet"/>
        <w:numPr>
          <w:ilvl w:val="0"/>
          <w:numId w:val="10"/>
        </w:numPr>
        <w:spacing w:after="50"/>
      </w:pPr>
      <w:r>
        <w:t>Your exact access time for setup and the required time to be completely out of the space.</w:t>
      </w:r>
    </w:p>
    <w:p w14:paraId="2AF8ACB2" w14:textId="77777777" w:rsidR="00094458" w:rsidRDefault="00000000" w:rsidP="005B0857">
      <w:pPr>
        <w:pStyle w:val="ListBullet"/>
        <w:numPr>
          <w:ilvl w:val="0"/>
          <w:numId w:val="10"/>
        </w:numPr>
        <w:spacing w:after="50"/>
      </w:pPr>
      <w:r>
        <w:t>Maximum occupancy and any restrictions on public attendance.</w:t>
      </w:r>
    </w:p>
    <w:p w14:paraId="2105F11F" w14:textId="77777777" w:rsidR="00094458" w:rsidRDefault="00000000" w:rsidP="005B0857">
      <w:pPr>
        <w:pStyle w:val="ListBullet"/>
        <w:numPr>
          <w:ilvl w:val="0"/>
          <w:numId w:val="10"/>
        </w:numPr>
        <w:spacing w:after="50"/>
      </w:pPr>
      <w:r>
        <w:t>Kitchen or prep access, refrigeration/freezer space, sinks, hot water, dishwashing, storage, and ice access.</w:t>
      </w:r>
    </w:p>
    <w:p w14:paraId="7BFFFE89" w14:textId="77777777" w:rsidR="00094458" w:rsidRDefault="00000000" w:rsidP="005B0857">
      <w:pPr>
        <w:pStyle w:val="ListBullet"/>
        <w:numPr>
          <w:ilvl w:val="0"/>
          <w:numId w:val="10"/>
        </w:numPr>
        <w:spacing w:after="50"/>
      </w:pPr>
      <w:r>
        <w:t>Electrical capacity, permitted cooking equipment, open-flame restrictions, ventilation, and generator rules.</w:t>
      </w:r>
    </w:p>
    <w:p w14:paraId="26D4CA87" w14:textId="77777777" w:rsidR="00094458" w:rsidRDefault="00000000" w:rsidP="005B0857">
      <w:pPr>
        <w:pStyle w:val="ListBullet"/>
        <w:numPr>
          <w:ilvl w:val="0"/>
          <w:numId w:val="10"/>
        </w:numPr>
        <w:spacing w:after="50"/>
      </w:pPr>
      <w:r>
        <w:t>Tables, chairs, linens, trash containers, restrooms, parking/loading access, and accessibility.</w:t>
      </w:r>
    </w:p>
    <w:p w14:paraId="4C6A6127" w14:textId="77777777" w:rsidR="00094458" w:rsidRDefault="00000000" w:rsidP="005B0857">
      <w:pPr>
        <w:pStyle w:val="ListBullet"/>
        <w:numPr>
          <w:ilvl w:val="0"/>
          <w:numId w:val="10"/>
        </w:numPr>
        <w:spacing w:after="50"/>
      </w:pPr>
      <w:r>
        <w:t>Whether outside food, beverage, caterers, vendors, entertainment, signage, alcohol, or amplified sound are allowed.</w:t>
      </w:r>
    </w:p>
    <w:p w14:paraId="281DF348" w14:textId="77777777" w:rsidR="00094458" w:rsidRDefault="00000000" w:rsidP="005B0857">
      <w:pPr>
        <w:pStyle w:val="ListBullet"/>
        <w:numPr>
          <w:ilvl w:val="0"/>
          <w:numId w:val="10"/>
        </w:numPr>
        <w:spacing w:after="50"/>
      </w:pPr>
      <w:r>
        <w:t>What insurance or Certificate of Insurance (COI) the venue requires and exactly how the insured parties must be named.</w:t>
      </w:r>
    </w:p>
    <w:tbl>
      <w:tblPr>
        <w:tblW w:w="0" w:type="auto"/>
        <w:jc w:val="center"/>
        <w:tblLayout w:type="fixed"/>
        <w:tblLook w:val="04A0" w:firstRow="1" w:lastRow="0" w:firstColumn="1" w:lastColumn="0" w:noHBand="0" w:noVBand="1"/>
      </w:tblPr>
      <w:tblGrid>
        <w:gridCol w:w="9878"/>
      </w:tblGrid>
      <w:tr w:rsidR="00094458" w14:paraId="58F54336" w14:textId="77777777">
        <w:trPr>
          <w:cantSplit/>
          <w:jc w:val="center"/>
        </w:trPr>
        <w:tc>
          <w:tcPr>
            <w:tcW w:w="9878" w:type="dxa"/>
            <w:shd w:val="clear" w:color="auto" w:fill="EAF1F8"/>
            <w:tcMar>
              <w:top w:w="120" w:type="dxa"/>
              <w:left w:w="150" w:type="dxa"/>
              <w:bottom w:w="120" w:type="dxa"/>
              <w:right w:w="150" w:type="dxa"/>
            </w:tcMar>
          </w:tcPr>
          <w:p w14:paraId="200ACA07" w14:textId="77777777" w:rsidR="00094458" w:rsidRDefault="00000000">
            <w:pPr>
              <w:pStyle w:val="Callout"/>
            </w:pPr>
            <w:r>
              <w:rPr>
                <w:b/>
                <w:color w:val="17365D"/>
              </w:rPr>
              <w:t xml:space="preserve">Do not assume: </w:t>
            </w:r>
            <w:r>
              <w:t>If a venue says it is 'event-ready,' that does not automatically mean it is approved for every type of food preparation, alcohol service, public vending, music, tent, generator, or temporary structure you may want to use.</w:t>
            </w:r>
          </w:p>
        </w:tc>
      </w:tr>
    </w:tbl>
    <w:p w14:paraId="76FE315C" w14:textId="77777777" w:rsidR="00094458" w:rsidRDefault="00000000">
      <w:pPr>
        <w:pStyle w:val="Heading1"/>
      </w:pPr>
      <w:r>
        <w:rPr>
          <w:rFonts w:ascii="Aptos" w:hAnsi="Aptos"/>
        </w:rPr>
        <w:t>4. Confirm Permits, Insurance, Tax, and Other Compliance Early</w:t>
      </w:r>
    </w:p>
    <w:p w14:paraId="10B89787" w14:textId="5E7BE990" w:rsidR="00094458" w:rsidRDefault="005B0857">
      <w:r>
        <w:t>Rules depend on the city, the property, whether the public is invited, whether you sell food or alcohol, and whether the event uses a street, sidewalk, park, or private venue. Check the requirements for the actual location before advertising the event as final.</w:t>
      </w:r>
    </w:p>
    <w:p w14:paraId="1499C853" w14:textId="77777777" w:rsidR="00094458" w:rsidRDefault="00000000">
      <w:r>
        <w:t>Depending on the event, you may need to address:</w:t>
      </w:r>
    </w:p>
    <w:p w14:paraId="6AA6C70E" w14:textId="77777777" w:rsidR="00094458" w:rsidRDefault="00000000" w:rsidP="005B0857">
      <w:pPr>
        <w:pStyle w:val="ListBullet"/>
        <w:numPr>
          <w:ilvl w:val="0"/>
          <w:numId w:val="11"/>
        </w:numPr>
        <w:spacing w:after="50"/>
      </w:pPr>
      <w:r>
        <w:t>Temporary food-service or food-vending permits.</w:t>
      </w:r>
    </w:p>
    <w:p w14:paraId="1B2F590D" w14:textId="77777777" w:rsidR="00094458" w:rsidRDefault="00000000" w:rsidP="005B0857">
      <w:pPr>
        <w:pStyle w:val="ListBullet"/>
        <w:numPr>
          <w:ilvl w:val="0"/>
          <w:numId w:val="11"/>
        </w:numPr>
        <w:spacing w:after="50"/>
      </w:pPr>
      <w:r>
        <w:t>Food-handler or food-protection certification.</w:t>
      </w:r>
    </w:p>
    <w:p w14:paraId="02780FF5" w14:textId="77777777" w:rsidR="00094458" w:rsidRDefault="00000000" w:rsidP="005B0857">
      <w:pPr>
        <w:pStyle w:val="ListBullet"/>
        <w:numPr>
          <w:ilvl w:val="0"/>
          <w:numId w:val="11"/>
        </w:numPr>
        <w:spacing w:after="50"/>
      </w:pPr>
      <w:r>
        <w:t>Street, sidewalk, park, plaza, or special-event permits.</w:t>
      </w:r>
    </w:p>
    <w:p w14:paraId="5308E160" w14:textId="77777777" w:rsidR="00094458" w:rsidRDefault="00000000" w:rsidP="005B0857">
      <w:pPr>
        <w:pStyle w:val="ListBullet"/>
        <w:numPr>
          <w:ilvl w:val="0"/>
          <w:numId w:val="11"/>
        </w:numPr>
        <w:spacing w:after="50"/>
      </w:pPr>
      <w:r>
        <w:t>Fire Department requirements for cooking, fuel, tents, canopies, or generators.</w:t>
      </w:r>
    </w:p>
    <w:p w14:paraId="16BB02A3" w14:textId="77777777" w:rsidR="00094458" w:rsidRDefault="00000000" w:rsidP="005B0857">
      <w:pPr>
        <w:pStyle w:val="ListBullet"/>
        <w:numPr>
          <w:ilvl w:val="0"/>
          <w:numId w:val="11"/>
        </w:numPr>
        <w:spacing w:after="50"/>
      </w:pPr>
      <w:r>
        <w:t>Building or occupancy approvals for temporary structures or unusual event setups.</w:t>
      </w:r>
    </w:p>
    <w:p w14:paraId="1F60DAC5" w14:textId="77777777" w:rsidR="00094458" w:rsidRDefault="00000000" w:rsidP="005B0857">
      <w:pPr>
        <w:pStyle w:val="ListBullet"/>
        <w:numPr>
          <w:ilvl w:val="0"/>
          <w:numId w:val="11"/>
        </w:numPr>
        <w:spacing w:after="50"/>
      </w:pPr>
      <w:r>
        <w:t>Alcohol licensing or catering permits if alcohol will be sold or served.</w:t>
      </w:r>
    </w:p>
    <w:p w14:paraId="61B569D7" w14:textId="77777777" w:rsidR="00094458" w:rsidRDefault="00000000" w:rsidP="005B0857">
      <w:pPr>
        <w:pStyle w:val="ListBullet"/>
        <w:numPr>
          <w:ilvl w:val="0"/>
          <w:numId w:val="11"/>
        </w:numPr>
        <w:spacing w:after="50"/>
      </w:pPr>
      <w:r>
        <w:t>Amplified-sound or entertainment permissions.</w:t>
      </w:r>
    </w:p>
    <w:p w14:paraId="07AA58BE" w14:textId="77777777" w:rsidR="00094458" w:rsidRDefault="00000000" w:rsidP="005B0857">
      <w:pPr>
        <w:pStyle w:val="ListBullet"/>
        <w:numPr>
          <w:ilvl w:val="0"/>
          <w:numId w:val="11"/>
        </w:numPr>
        <w:spacing w:after="50"/>
      </w:pPr>
      <w:r>
        <w:t>General liability insurance and venue-required additional insureds.</w:t>
      </w:r>
    </w:p>
    <w:p w14:paraId="2D1B1943" w14:textId="77777777" w:rsidR="00094458" w:rsidRDefault="00000000" w:rsidP="005B0857">
      <w:pPr>
        <w:pStyle w:val="ListBullet"/>
        <w:numPr>
          <w:ilvl w:val="0"/>
          <w:numId w:val="11"/>
        </w:numPr>
        <w:spacing w:after="50"/>
      </w:pPr>
      <w:r>
        <w:t>Sales-tax registration and collection requirements.</w:t>
      </w:r>
    </w:p>
    <w:p w14:paraId="03A4E793" w14:textId="77777777" w:rsidR="00094458" w:rsidRDefault="00000000" w:rsidP="005B0857">
      <w:pPr>
        <w:pStyle w:val="ListBullet"/>
        <w:numPr>
          <w:ilvl w:val="0"/>
          <w:numId w:val="11"/>
        </w:numPr>
        <w:spacing w:after="50"/>
      </w:pPr>
      <w:r>
        <w:t>Written vendor agreements, venue agreements, and cancellation/refund terms.</w:t>
      </w:r>
    </w:p>
    <w:p w14:paraId="6854A9C6" w14:textId="77777777" w:rsidR="00094458" w:rsidRDefault="00000000">
      <w:pPr>
        <w:pStyle w:val="Heading2"/>
      </w:pPr>
      <w:r>
        <w:rPr>
          <w:rFonts w:ascii="Aptos" w:hAnsi="Aptos"/>
        </w:rPr>
        <w:t>Current New York City Notes (September 2026)</w:t>
      </w:r>
    </w:p>
    <w:p w14:paraId="1301F3B0" w14:textId="77777777" w:rsidR="00094458" w:rsidRDefault="00000000">
      <w:r>
        <w:t>If your pop-up will be in New York City, confirm the exact permit path for your event rather than relying on another vendor's experience. Several requirements change depending on whether you are a food vendor, event organizer, street-event producer, or operator on private property.</w:t>
      </w:r>
    </w:p>
    <w:p w14:paraId="4CEE69D9" w14:textId="77777777" w:rsidR="00094458" w:rsidRDefault="00000000" w:rsidP="005B0857">
      <w:pPr>
        <w:pStyle w:val="ListBullet"/>
        <w:numPr>
          <w:ilvl w:val="0"/>
          <w:numId w:val="13"/>
        </w:numPr>
        <w:spacing w:after="50"/>
      </w:pPr>
      <w:r>
        <w:t>NYC requires a Temporary Food Service Establishment Permit to serve food or drinks from a fixed booth or stand at many public-facing special events. NYC currently lists the annual permit fee as $70.</w:t>
      </w:r>
    </w:p>
    <w:p w14:paraId="715F8B89" w14:textId="77777777" w:rsidR="00094458" w:rsidRDefault="00000000" w:rsidP="005B0857">
      <w:pPr>
        <w:pStyle w:val="ListBullet"/>
        <w:numPr>
          <w:ilvl w:val="0"/>
          <w:numId w:val="13"/>
        </w:numPr>
        <w:spacing w:after="50"/>
      </w:pPr>
      <w:r>
        <w:t>For a temporary event with food vendors, NYC Health states that the organizer must notify the Health Department 30 days before the event and provide participating food-vendor permit information. A signed property-owner agreement is required when the event is on privately owned property.</w:t>
      </w:r>
    </w:p>
    <w:p w14:paraId="79790193" w14:textId="77777777" w:rsidR="00094458" w:rsidRDefault="00000000" w:rsidP="005B0857">
      <w:pPr>
        <w:pStyle w:val="ListBullet"/>
        <w:numPr>
          <w:ilvl w:val="0"/>
          <w:numId w:val="13"/>
        </w:numPr>
        <w:spacing w:after="50"/>
      </w:pPr>
      <w:r>
        <w:t>NYC Health requires the on-site supervisor of temporary food operations to hold an acceptable Food Protection Certification.</w:t>
      </w:r>
    </w:p>
    <w:p w14:paraId="323E5984" w14:textId="77777777" w:rsidR="00094458" w:rsidRDefault="00000000" w:rsidP="005B0857">
      <w:pPr>
        <w:pStyle w:val="ListBullet"/>
        <w:numPr>
          <w:ilvl w:val="0"/>
          <w:numId w:val="13"/>
        </w:numPr>
        <w:spacing w:after="50"/>
      </w:pPr>
      <w:r>
        <w:t>Street, sidewalk, curb-lane, and pedestrian-plaza events may require a Street Activity Permit Office (SAPO) permit. Application deadlines vary by event type and size; some street-event categories require submission 14, 30, or 45 days in advance.</w:t>
      </w:r>
    </w:p>
    <w:p w14:paraId="1CFCF333" w14:textId="77777777" w:rsidR="00094458" w:rsidRDefault="00000000" w:rsidP="005B0857">
      <w:pPr>
        <w:pStyle w:val="ListBullet"/>
        <w:numPr>
          <w:ilvl w:val="0"/>
          <w:numId w:val="13"/>
        </w:numPr>
        <w:spacing w:after="50"/>
      </w:pPr>
      <w:r>
        <w:t>NYC street-event guidance also identifies a minimum $1 million insurance requirement for certain street-event categories, with additional insurance possible depending on the event.</w:t>
      </w:r>
    </w:p>
    <w:p w14:paraId="2F0AA1A0" w14:textId="77777777" w:rsidR="00094458" w:rsidRDefault="00000000" w:rsidP="005B0857">
      <w:pPr>
        <w:pStyle w:val="ListBullet"/>
        <w:numPr>
          <w:ilvl w:val="0"/>
          <w:numId w:val="13"/>
        </w:numPr>
        <w:spacing w:after="50"/>
      </w:pPr>
      <w:r>
        <w:t>New York State requires a Certificate of Authority before making taxable sales that require sales-tax collection. The Tax Department generally says to apply at least 20 days before beginning taxable business activity.</w:t>
      </w:r>
    </w:p>
    <w:tbl>
      <w:tblPr>
        <w:tblW w:w="0" w:type="auto"/>
        <w:jc w:val="center"/>
        <w:tblLayout w:type="fixed"/>
        <w:tblLook w:val="04A0" w:firstRow="1" w:lastRow="0" w:firstColumn="1" w:lastColumn="0" w:noHBand="0" w:noVBand="1"/>
      </w:tblPr>
      <w:tblGrid>
        <w:gridCol w:w="9878"/>
      </w:tblGrid>
      <w:tr w:rsidR="00094458" w14:paraId="56EE9BD5" w14:textId="77777777">
        <w:trPr>
          <w:cantSplit/>
          <w:jc w:val="center"/>
        </w:trPr>
        <w:tc>
          <w:tcPr>
            <w:tcW w:w="9878" w:type="dxa"/>
            <w:shd w:val="clear" w:color="auto" w:fill="EAF1F8"/>
            <w:tcMar>
              <w:top w:w="120" w:type="dxa"/>
              <w:left w:w="150" w:type="dxa"/>
              <w:bottom w:w="120" w:type="dxa"/>
              <w:right w:w="150" w:type="dxa"/>
            </w:tcMar>
          </w:tcPr>
          <w:p w14:paraId="45E75682" w14:textId="77777777" w:rsidR="00094458" w:rsidRDefault="00000000">
            <w:pPr>
              <w:pStyle w:val="Callout"/>
            </w:pPr>
            <w:r>
              <w:rPr>
                <w:b/>
                <w:color w:val="17365D"/>
              </w:rPr>
              <w:t xml:space="preserve">Because permits are location-specific: </w:t>
            </w:r>
            <w:r>
              <w:t>If the event is outside New York City, replace the NYC requirements above with the rules for the actual city, county, and state. Do not copy NYC deadlines or permits into another jurisdiction.</w:t>
            </w:r>
          </w:p>
        </w:tc>
      </w:tr>
    </w:tbl>
    <w:p w14:paraId="2E96F76E" w14:textId="77777777" w:rsidR="00094458" w:rsidRDefault="00000000">
      <w:pPr>
        <w:pStyle w:val="Heading1"/>
      </w:pPr>
      <w:r>
        <w:rPr>
          <w:rFonts w:ascii="Aptos" w:hAnsi="Aptos"/>
        </w:rPr>
        <w:t>5. Know the Numbers Before You Commit to the Event</w:t>
      </w:r>
    </w:p>
    <w:p w14:paraId="709F0AA7" w14:textId="77777777" w:rsidR="00094458" w:rsidRDefault="00000000">
      <w:r>
        <w:t>Sales are not profit. Build the event budget before you lock in major purchases. Separate fixed costs from costs that change with the number of guests or orders.</w:t>
      </w:r>
    </w:p>
    <w:p w14:paraId="2068A4C0" w14:textId="77777777" w:rsidR="00094458" w:rsidRDefault="00000000">
      <w:r>
        <w:t>Common costs include:</w:t>
      </w:r>
    </w:p>
    <w:p w14:paraId="69852BCB" w14:textId="77777777" w:rsidR="00094458" w:rsidRDefault="00000000" w:rsidP="005B0857">
      <w:pPr>
        <w:pStyle w:val="ListBullet"/>
        <w:numPr>
          <w:ilvl w:val="0"/>
          <w:numId w:val="14"/>
        </w:numPr>
        <w:spacing w:after="50"/>
      </w:pPr>
      <w:r>
        <w:t>Venue rental and deposits</w:t>
      </w:r>
    </w:p>
    <w:p w14:paraId="34EE06FA" w14:textId="77777777" w:rsidR="00094458" w:rsidRDefault="00000000" w:rsidP="005B0857">
      <w:pPr>
        <w:pStyle w:val="ListBullet"/>
        <w:numPr>
          <w:ilvl w:val="0"/>
          <w:numId w:val="14"/>
        </w:numPr>
        <w:spacing w:after="50"/>
      </w:pPr>
      <w:r>
        <w:t>Permits and licenses</w:t>
      </w:r>
    </w:p>
    <w:p w14:paraId="2A8E84CE" w14:textId="77777777" w:rsidR="00094458" w:rsidRDefault="00000000" w:rsidP="005B0857">
      <w:pPr>
        <w:pStyle w:val="ListBullet"/>
        <w:numPr>
          <w:ilvl w:val="0"/>
          <w:numId w:val="14"/>
        </w:numPr>
        <w:spacing w:after="50"/>
      </w:pPr>
      <w:r>
        <w:t>Insurance</w:t>
      </w:r>
    </w:p>
    <w:p w14:paraId="3889A076" w14:textId="77777777" w:rsidR="00094458" w:rsidRDefault="00000000" w:rsidP="005B0857">
      <w:pPr>
        <w:pStyle w:val="ListBullet"/>
        <w:numPr>
          <w:ilvl w:val="0"/>
          <w:numId w:val="14"/>
        </w:numPr>
        <w:spacing w:after="50"/>
      </w:pPr>
      <w:r>
        <w:t>Food and beverage</w:t>
      </w:r>
    </w:p>
    <w:p w14:paraId="12DDAF9A" w14:textId="77777777" w:rsidR="00094458" w:rsidRDefault="00000000" w:rsidP="005B0857">
      <w:pPr>
        <w:pStyle w:val="ListBullet"/>
        <w:numPr>
          <w:ilvl w:val="0"/>
          <w:numId w:val="14"/>
        </w:numPr>
        <w:spacing w:after="50"/>
      </w:pPr>
      <w:r>
        <w:t>Labor and payroll-related costs</w:t>
      </w:r>
    </w:p>
    <w:p w14:paraId="5DA66D87" w14:textId="77777777" w:rsidR="00094458" w:rsidRDefault="00000000" w:rsidP="005B0857">
      <w:pPr>
        <w:pStyle w:val="ListBullet"/>
        <w:numPr>
          <w:ilvl w:val="0"/>
          <w:numId w:val="14"/>
        </w:numPr>
        <w:spacing w:after="50"/>
      </w:pPr>
      <w:r>
        <w:t xml:space="preserve">Equipment and </w:t>
      </w:r>
      <w:proofErr w:type="spellStart"/>
      <w:r>
        <w:t>smallwares</w:t>
      </w:r>
      <w:proofErr w:type="spellEnd"/>
    </w:p>
    <w:p w14:paraId="54C4B1ED" w14:textId="77777777" w:rsidR="00094458" w:rsidRDefault="00000000" w:rsidP="005B0857">
      <w:pPr>
        <w:pStyle w:val="ListBullet"/>
        <w:numPr>
          <w:ilvl w:val="0"/>
          <w:numId w:val="14"/>
        </w:numPr>
        <w:spacing w:after="50"/>
      </w:pPr>
      <w:r>
        <w:t>Rental tables, chairs, linens, tents, or refrigeration</w:t>
      </w:r>
    </w:p>
    <w:p w14:paraId="18EAC1CB" w14:textId="77777777" w:rsidR="00094458" w:rsidRDefault="00000000" w:rsidP="005B0857">
      <w:pPr>
        <w:pStyle w:val="ListBullet"/>
        <w:numPr>
          <w:ilvl w:val="0"/>
          <w:numId w:val="14"/>
        </w:numPr>
        <w:spacing w:after="50"/>
      </w:pPr>
      <w:r>
        <w:t>Packaging and disposables</w:t>
      </w:r>
    </w:p>
    <w:p w14:paraId="0119436B" w14:textId="77777777" w:rsidR="00094458" w:rsidRDefault="00000000" w:rsidP="005B0857">
      <w:pPr>
        <w:pStyle w:val="ListBullet"/>
        <w:numPr>
          <w:ilvl w:val="0"/>
          <w:numId w:val="14"/>
        </w:numPr>
        <w:spacing w:after="50"/>
      </w:pPr>
      <w:r>
        <w:t>Transportation, delivery, parking, and tolls</w:t>
      </w:r>
    </w:p>
    <w:p w14:paraId="413C1BF7" w14:textId="77777777" w:rsidR="00094458" w:rsidRDefault="00000000" w:rsidP="005B0857">
      <w:pPr>
        <w:pStyle w:val="ListBullet"/>
        <w:numPr>
          <w:ilvl w:val="0"/>
          <w:numId w:val="14"/>
        </w:numPr>
        <w:spacing w:after="50"/>
      </w:pPr>
      <w:r>
        <w:t>Ice and water</w:t>
      </w:r>
    </w:p>
    <w:p w14:paraId="3A09A022" w14:textId="77777777" w:rsidR="00094458" w:rsidRDefault="00000000" w:rsidP="005B0857">
      <w:pPr>
        <w:pStyle w:val="ListBullet"/>
        <w:numPr>
          <w:ilvl w:val="0"/>
          <w:numId w:val="14"/>
        </w:numPr>
        <w:spacing w:after="50"/>
      </w:pPr>
      <w:r>
        <w:t>Decor, printing, signage, and marketing</w:t>
      </w:r>
    </w:p>
    <w:p w14:paraId="1E510FA5" w14:textId="77777777" w:rsidR="00094458" w:rsidRDefault="00000000" w:rsidP="005B0857">
      <w:pPr>
        <w:pStyle w:val="ListBullet"/>
        <w:numPr>
          <w:ilvl w:val="0"/>
          <w:numId w:val="14"/>
        </w:numPr>
        <w:spacing w:after="50"/>
      </w:pPr>
      <w:r>
        <w:t>Ticketing/POS/payment-processing fees</w:t>
      </w:r>
    </w:p>
    <w:p w14:paraId="26D1F7DF" w14:textId="77777777" w:rsidR="00094458" w:rsidRDefault="00000000" w:rsidP="005B0857">
      <w:pPr>
        <w:pStyle w:val="ListBullet"/>
        <w:numPr>
          <w:ilvl w:val="0"/>
          <w:numId w:val="14"/>
        </w:numPr>
        <w:spacing w:after="50"/>
      </w:pPr>
      <w:r>
        <w:t>Security, cleaning, waste removal, and contingency funds</w:t>
      </w:r>
    </w:p>
    <w:p w14:paraId="601EF210" w14:textId="1AEA76DB" w:rsidR="000C72C2" w:rsidRDefault="00000000">
      <w:r>
        <w:t>At minimum, confirm these four figures before the event:</w:t>
      </w:r>
    </w:p>
    <w:tbl>
      <w:tblPr>
        <w:tblStyle w:val="TableGrid"/>
        <w:tblW w:w="10630" w:type="dxa"/>
        <w:jc w:val="center"/>
        <w:tblLayout w:type="fixed"/>
        <w:tblLook w:val="04A0" w:firstRow="1" w:lastRow="0" w:firstColumn="1" w:lastColumn="0" w:noHBand="0" w:noVBand="1"/>
      </w:tblPr>
      <w:tblGrid>
        <w:gridCol w:w="2070"/>
        <w:gridCol w:w="8560"/>
      </w:tblGrid>
      <w:tr w:rsidR="00094458" w14:paraId="287EE58D" w14:textId="77777777" w:rsidTr="00314013">
        <w:trPr>
          <w:cantSplit/>
          <w:jc w:val="center"/>
        </w:trPr>
        <w:tc>
          <w:tcPr>
            <w:tcW w:w="2070" w:type="dxa"/>
            <w:shd w:val="clear" w:color="auto" w:fill="17365D"/>
            <w:tcMar>
              <w:top w:w="90" w:type="dxa"/>
              <w:left w:w="110" w:type="dxa"/>
              <w:bottom w:w="90" w:type="dxa"/>
              <w:right w:w="110" w:type="dxa"/>
            </w:tcMar>
          </w:tcPr>
          <w:p w14:paraId="1E3937AA" w14:textId="77777777" w:rsidR="00094458" w:rsidRDefault="00000000">
            <w:r>
              <w:rPr>
                <w:b/>
                <w:color w:val="FFFFFF"/>
                <w:sz w:val="18"/>
              </w:rPr>
              <w:t>Figure</w:t>
            </w:r>
          </w:p>
        </w:tc>
        <w:tc>
          <w:tcPr>
            <w:tcW w:w="8560" w:type="dxa"/>
            <w:shd w:val="clear" w:color="auto" w:fill="17365D"/>
            <w:tcMar>
              <w:top w:w="90" w:type="dxa"/>
              <w:left w:w="110" w:type="dxa"/>
              <w:bottom w:w="90" w:type="dxa"/>
              <w:right w:w="110" w:type="dxa"/>
            </w:tcMar>
          </w:tcPr>
          <w:p w14:paraId="14194529" w14:textId="77777777" w:rsidR="00094458" w:rsidRDefault="00000000">
            <w:r>
              <w:rPr>
                <w:b/>
                <w:color w:val="FFFFFF"/>
                <w:sz w:val="18"/>
              </w:rPr>
              <w:t>What it tells you</w:t>
            </w:r>
          </w:p>
        </w:tc>
      </w:tr>
      <w:tr w:rsidR="00094458" w14:paraId="6C13081D" w14:textId="77777777" w:rsidTr="00314013">
        <w:trPr>
          <w:cantSplit/>
          <w:jc w:val="center"/>
        </w:trPr>
        <w:tc>
          <w:tcPr>
            <w:tcW w:w="2070" w:type="dxa"/>
            <w:shd w:val="clear" w:color="auto" w:fill="F3F5F7"/>
            <w:tcMar>
              <w:top w:w="90" w:type="dxa"/>
              <w:left w:w="110" w:type="dxa"/>
              <w:bottom w:w="90" w:type="dxa"/>
              <w:right w:w="110" w:type="dxa"/>
            </w:tcMar>
          </w:tcPr>
          <w:p w14:paraId="273919C8" w14:textId="77777777" w:rsidR="00094458" w:rsidRDefault="00000000">
            <w:r>
              <w:rPr>
                <w:b/>
                <w:sz w:val="18"/>
              </w:rPr>
              <w:t>Projected sales</w:t>
            </w:r>
          </w:p>
        </w:tc>
        <w:tc>
          <w:tcPr>
            <w:tcW w:w="8560" w:type="dxa"/>
            <w:tcMar>
              <w:top w:w="90" w:type="dxa"/>
              <w:left w:w="110" w:type="dxa"/>
              <w:bottom w:w="90" w:type="dxa"/>
              <w:right w:w="110" w:type="dxa"/>
            </w:tcMar>
          </w:tcPr>
          <w:p w14:paraId="549ED30A" w14:textId="77777777" w:rsidR="00094458" w:rsidRDefault="00000000">
            <w:r>
              <w:rPr>
                <w:sz w:val="18"/>
              </w:rPr>
              <w:t>Expected number of transactions x expected average check.</w:t>
            </w:r>
          </w:p>
        </w:tc>
      </w:tr>
      <w:tr w:rsidR="00094458" w14:paraId="2B0DBAA6" w14:textId="77777777" w:rsidTr="00314013">
        <w:trPr>
          <w:cantSplit/>
          <w:jc w:val="center"/>
        </w:trPr>
        <w:tc>
          <w:tcPr>
            <w:tcW w:w="2070" w:type="dxa"/>
            <w:shd w:val="clear" w:color="auto" w:fill="F3F5F7"/>
            <w:tcMar>
              <w:top w:w="90" w:type="dxa"/>
              <w:left w:w="110" w:type="dxa"/>
              <w:bottom w:w="90" w:type="dxa"/>
              <w:right w:w="110" w:type="dxa"/>
            </w:tcMar>
          </w:tcPr>
          <w:p w14:paraId="312B2670" w14:textId="77777777" w:rsidR="00094458" w:rsidRDefault="00000000">
            <w:r>
              <w:rPr>
                <w:b/>
                <w:sz w:val="18"/>
              </w:rPr>
              <w:t>Total event cost</w:t>
            </w:r>
          </w:p>
        </w:tc>
        <w:tc>
          <w:tcPr>
            <w:tcW w:w="8560" w:type="dxa"/>
            <w:tcMar>
              <w:top w:w="90" w:type="dxa"/>
              <w:left w:w="110" w:type="dxa"/>
              <w:bottom w:w="90" w:type="dxa"/>
              <w:right w:w="110" w:type="dxa"/>
            </w:tcMar>
          </w:tcPr>
          <w:p w14:paraId="5F6E71B9" w14:textId="77777777" w:rsidR="00094458" w:rsidRDefault="00000000">
            <w:r>
              <w:rPr>
                <w:sz w:val="18"/>
              </w:rPr>
              <w:t>All fixed and variable costs, not only food cost.</w:t>
            </w:r>
          </w:p>
        </w:tc>
      </w:tr>
      <w:tr w:rsidR="00094458" w14:paraId="5F31F3D1" w14:textId="77777777" w:rsidTr="00314013">
        <w:trPr>
          <w:cantSplit/>
          <w:jc w:val="center"/>
        </w:trPr>
        <w:tc>
          <w:tcPr>
            <w:tcW w:w="2070" w:type="dxa"/>
            <w:shd w:val="clear" w:color="auto" w:fill="F3F5F7"/>
            <w:tcMar>
              <w:top w:w="90" w:type="dxa"/>
              <w:left w:w="110" w:type="dxa"/>
              <w:bottom w:w="90" w:type="dxa"/>
              <w:right w:w="110" w:type="dxa"/>
            </w:tcMar>
          </w:tcPr>
          <w:p w14:paraId="48BE301F" w14:textId="77777777" w:rsidR="00094458" w:rsidRDefault="00000000">
            <w:r>
              <w:rPr>
                <w:b/>
                <w:sz w:val="18"/>
              </w:rPr>
              <w:t>Break-even point</w:t>
            </w:r>
          </w:p>
        </w:tc>
        <w:tc>
          <w:tcPr>
            <w:tcW w:w="8560" w:type="dxa"/>
            <w:tcMar>
              <w:top w:w="90" w:type="dxa"/>
              <w:left w:w="110" w:type="dxa"/>
              <w:bottom w:w="90" w:type="dxa"/>
              <w:right w:w="110" w:type="dxa"/>
            </w:tcMar>
          </w:tcPr>
          <w:p w14:paraId="4348E97B" w14:textId="77777777" w:rsidR="00094458" w:rsidRDefault="00000000">
            <w:r>
              <w:rPr>
                <w:sz w:val="18"/>
              </w:rPr>
              <w:t>The level of sales or number of transactions required to cover the event's costs.</w:t>
            </w:r>
          </w:p>
        </w:tc>
      </w:tr>
      <w:tr w:rsidR="00094458" w14:paraId="5633E040" w14:textId="77777777" w:rsidTr="00314013">
        <w:trPr>
          <w:cantSplit/>
          <w:jc w:val="center"/>
        </w:trPr>
        <w:tc>
          <w:tcPr>
            <w:tcW w:w="2070" w:type="dxa"/>
            <w:shd w:val="clear" w:color="auto" w:fill="F3F5F7"/>
            <w:tcMar>
              <w:top w:w="90" w:type="dxa"/>
              <w:left w:w="110" w:type="dxa"/>
              <w:bottom w:w="90" w:type="dxa"/>
              <w:right w:w="110" w:type="dxa"/>
            </w:tcMar>
          </w:tcPr>
          <w:p w14:paraId="1A63747E" w14:textId="77777777" w:rsidR="00094458" w:rsidRDefault="00000000">
            <w:r>
              <w:rPr>
                <w:b/>
                <w:sz w:val="18"/>
              </w:rPr>
              <w:t>Projected profit</w:t>
            </w:r>
          </w:p>
        </w:tc>
        <w:tc>
          <w:tcPr>
            <w:tcW w:w="8560" w:type="dxa"/>
            <w:tcMar>
              <w:top w:w="90" w:type="dxa"/>
              <w:left w:w="110" w:type="dxa"/>
              <w:bottom w:w="90" w:type="dxa"/>
              <w:right w:w="110" w:type="dxa"/>
            </w:tcMar>
          </w:tcPr>
          <w:p w14:paraId="7478B7E6" w14:textId="77777777" w:rsidR="00094458" w:rsidRDefault="00000000">
            <w:r>
              <w:rPr>
                <w:sz w:val="18"/>
              </w:rPr>
              <w:t>Projected sales minus total event costs.</w:t>
            </w:r>
          </w:p>
        </w:tc>
      </w:tr>
    </w:tbl>
    <w:p w14:paraId="1F2ECE18" w14:textId="77777777" w:rsidR="00094458" w:rsidRDefault="00094458">
      <w:pPr>
        <w:spacing w:after="20"/>
      </w:pPr>
    </w:p>
    <w:tbl>
      <w:tblPr>
        <w:tblW w:w="0" w:type="auto"/>
        <w:jc w:val="center"/>
        <w:tblLayout w:type="fixed"/>
        <w:tblLook w:val="04A0" w:firstRow="1" w:lastRow="0" w:firstColumn="1" w:lastColumn="0" w:noHBand="0" w:noVBand="1"/>
      </w:tblPr>
      <w:tblGrid>
        <w:gridCol w:w="9878"/>
      </w:tblGrid>
      <w:tr w:rsidR="00094458" w14:paraId="1A1D274F" w14:textId="77777777">
        <w:trPr>
          <w:cantSplit/>
          <w:jc w:val="center"/>
        </w:trPr>
        <w:tc>
          <w:tcPr>
            <w:tcW w:w="9878" w:type="dxa"/>
            <w:shd w:val="clear" w:color="auto" w:fill="EAF1F8"/>
            <w:tcMar>
              <w:top w:w="120" w:type="dxa"/>
              <w:left w:w="150" w:type="dxa"/>
              <w:bottom w:w="120" w:type="dxa"/>
              <w:right w:w="150" w:type="dxa"/>
            </w:tcMar>
          </w:tcPr>
          <w:p w14:paraId="61A53633" w14:textId="77777777" w:rsidR="00094458" w:rsidRDefault="00000000">
            <w:pPr>
              <w:pStyle w:val="Callout"/>
            </w:pPr>
            <w:r>
              <w:rPr>
                <w:b/>
                <w:color w:val="17365D"/>
              </w:rPr>
              <w:t xml:space="preserve">Watch the assumptions: </w:t>
            </w:r>
            <w:r>
              <w:t>A budget can look profitable because attendance is too optimistic, food waste is ignored, labor is undercounted, or venue extras are missing. Test the plan using a lower-sales scenario before you commit.</w:t>
            </w:r>
          </w:p>
        </w:tc>
      </w:tr>
    </w:tbl>
    <w:p w14:paraId="38EB9CB7" w14:textId="77777777" w:rsidR="00094458" w:rsidRDefault="00000000">
      <w:pPr>
        <w:pStyle w:val="Heading1"/>
      </w:pPr>
      <w:r>
        <w:rPr>
          <w:rFonts w:ascii="Aptos" w:hAnsi="Aptos"/>
        </w:rPr>
        <w:t>6. Design the Menu for the Event You Can Actually Execute</w:t>
      </w:r>
    </w:p>
    <w:p w14:paraId="41E7F71D" w14:textId="77777777" w:rsidR="00094458" w:rsidRDefault="00000000">
      <w:r>
        <w:t>A strong restaurant dish is not automatically a strong pop-up dish. Pop-ups have limited time, equipment, refrigeration, holding space, and labor. Choose items that fit the operating conditions.</w:t>
      </w:r>
    </w:p>
    <w:p w14:paraId="7AFFFD2E" w14:textId="77777777" w:rsidR="00094458" w:rsidRDefault="00000000">
      <w:r>
        <w:t>For every menu item, know:</w:t>
      </w:r>
    </w:p>
    <w:p w14:paraId="49A0D242" w14:textId="77777777" w:rsidR="00094458" w:rsidRDefault="00000000" w:rsidP="00314013">
      <w:pPr>
        <w:pStyle w:val="ListBullet"/>
        <w:numPr>
          <w:ilvl w:val="0"/>
          <w:numId w:val="22"/>
        </w:numPr>
        <w:spacing w:after="50"/>
      </w:pPr>
      <w:r>
        <w:t>Portion size and cost per portion.</w:t>
      </w:r>
    </w:p>
    <w:p w14:paraId="39AF1441" w14:textId="77777777" w:rsidR="00094458" w:rsidRDefault="00000000" w:rsidP="00314013">
      <w:pPr>
        <w:pStyle w:val="ListBullet"/>
        <w:numPr>
          <w:ilvl w:val="0"/>
          <w:numId w:val="22"/>
        </w:numPr>
        <w:spacing w:after="50"/>
      </w:pPr>
      <w:r>
        <w:t>Selling price and expected margin.</w:t>
      </w:r>
    </w:p>
    <w:p w14:paraId="0CA8D922" w14:textId="77777777" w:rsidR="00094458" w:rsidRDefault="00000000" w:rsidP="00314013">
      <w:pPr>
        <w:pStyle w:val="ListBullet"/>
        <w:numPr>
          <w:ilvl w:val="0"/>
          <w:numId w:val="22"/>
        </w:numPr>
        <w:spacing w:after="50"/>
      </w:pPr>
      <w:r>
        <w:t>How much can be prepared safely in advance and where that preparation is legally allowed.</w:t>
      </w:r>
    </w:p>
    <w:p w14:paraId="449EA6D2" w14:textId="77777777" w:rsidR="00094458" w:rsidRDefault="00000000" w:rsidP="00314013">
      <w:pPr>
        <w:pStyle w:val="ListBullet"/>
        <w:numPr>
          <w:ilvl w:val="0"/>
          <w:numId w:val="22"/>
        </w:numPr>
        <w:spacing w:after="50"/>
      </w:pPr>
      <w:r>
        <w:t>Cook time, assembly time, holding quality, and maximum output per hour.</w:t>
      </w:r>
    </w:p>
    <w:p w14:paraId="1572AC58" w14:textId="77777777" w:rsidR="00094458" w:rsidRDefault="00000000" w:rsidP="00314013">
      <w:pPr>
        <w:pStyle w:val="ListBullet"/>
        <w:numPr>
          <w:ilvl w:val="0"/>
          <w:numId w:val="22"/>
        </w:numPr>
        <w:spacing w:after="50"/>
      </w:pPr>
      <w:r>
        <w:t>Equipment, refrigeration, hot-holding, cold-holding, and service-vessel requirements.</w:t>
      </w:r>
    </w:p>
    <w:p w14:paraId="6B4A6E94" w14:textId="77777777" w:rsidR="00094458" w:rsidRDefault="00000000" w:rsidP="00314013">
      <w:pPr>
        <w:pStyle w:val="ListBullet"/>
        <w:numPr>
          <w:ilvl w:val="0"/>
          <w:numId w:val="22"/>
        </w:numPr>
        <w:spacing w:after="50"/>
      </w:pPr>
      <w:r>
        <w:t>Major allergens and how you will prevent cross-contact.</w:t>
      </w:r>
    </w:p>
    <w:p w14:paraId="21810FF7" w14:textId="77777777" w:rsidR="00094458" w:rsidRDefault="00000000" w:rsidP="00314013">
      <w:pPr>
        <w:pStyle w:val="ListBullet"/>
        <w:numPr>
          <w:ilvl w:val="0"/>
          <w:numId w:val="22"/>
        </w:numPr>
        <w:spacing w:after="50"/>
      </w:pPr>
      <w:r>
        <w:t>What happens if that item sells faster or slower than forecast.</w:t>
      </w:r>
    </w:p>
    <w:p w14:paraId="6F4E354B" w14:textId="77777777" w:rsidR="00094458" w:rsidRDefault="00000000" w:rsidP="00314013">
      <w:pPr>
        <w:pStyle w:val="ListBullet"/>
        <w:numPr>
          <w:ilvl w:val="0"/>
          <w:numId w:val="22"/>
        </w:numPr>
        <w:spacing w:after="50"/>
      </w:pPr>
      <w:r>
        <w:t>Whether the menu becomes too slow when several guests order at the same time.</w:t>
      </w:r>
    </w:p>
    <w:tbl>
      <w:tblPr>
        <w:tblW w:w="0" w:type="auto"/>
        <w:jc w:val="center"/>
        <w:tblLayout w:type="fixed"/>
        <w:tblLook w:val="04A0" w:firstRow="1" w:lastRow="0" w:firstColumn="1" w:lastColumn="0" w:noHBand="0" w:noVBand="1"/>
      </w:tblPr>
      <w:tblGrid>
        <w:gridCol w:w="9878"/>
      </w:tblGrid>
      <w:tr w:rsidR="00094458" w14:paraId="369D0975" w14:textId="77777777">
        <w:trPr>
          <w:cantSplit/>
          <w:jc w:val="center"/>
        </w:trPr>
        <w:tc>
          <w:tcPr>
            <w:tcW w:w="9878" w:type="dxa"/>
            <w:shd w:val="clear" w:color="auto" w:fill="EAF1F8"/>
            <w:tcMar>
              <w:top w:w="120" w:type="dxa"/>
              <w:left w:w="150" w:type="dxa"/>
              <w:bottom w:w="120" w:type="dxa"/>
              <w:right w:w="150" w:type="dxa"/>
            </w:tcMar>
          </w:tcPr>
          <w:p w14:paraId="265F71CA" w14:textId="77777777" w:rsidR="00094458" w:rsidRDefault="00000000">
            <w:pPr>
              <w:pStyle w:val="Callout"/>
            </w:pPr>
            <w:r>
              <w:rPr>
                <w:b/>
                <w:color w:val="17365D"/>
              </w:rPr>
              <w:t xml:space="preserve">Capacity check: </w:t>
            </w:r>
            <w:r>
              <w:t>If you expect 120 guests during a two-hour service but your line can only complete 35 orders per hour, the menu or service model must change before event day.</w:t>
            </w:r>
          </w:p>
        </w:tc>
      </w:tr>
    </w:tbl>
    <w:p w14:paraId="41809463" w14:textId="77777777" w:rsidR="00094458" w:rsidRDefault="00094458">
      <w:pPr>
        <w:spacing w:after="20"/>
      </w:pPr>
    </w:p>
    <w:p w14:paraId="7CC96D5B" w14:textId="77777777" w:rsidR="00094458" w:rsidRDefault="00000000">
      <w:pPr>
        <w:pStyle w:val="Heading1"/>
      </w:pPr>
      <w:r>
        <w:rPr>
          <w:rFonts w:ascii="Aptos" w:hAnsi="Aptos"/>
        </w:rPr>
        <w:t>7. Forecast Quantities Instead of Guessing</w:t>
      </w:r>
    </w:p>
    <w:p w14:paraId="567542A1" w14:textId="30AFD1FC" w:rsidR="00094458" w:rsidRDefault="00000000">
      <w:r>
        <w:t>Do</w:t>
      </w:r>
      <w:r w:rsidR="005B0857">
        <w:t>n't purchase for the maximum possible crowd unless sales data or ticket counts support</w:t>
      </w:r>
      <w:r>
        <w:t xml:space="preserve"> it. Estimate attendance, likely order mix, portion yield, and a reasonable buffer. Prepaid tickets or reservations provide stronger demand information than social-media interest.</w:t>
      </w:r>
    </w:p>
    <w:p w14:paraId="6B89FD04" w14:textId="2E05BEC1" w:rsidR="00094458" w:rsidRDefault="005B0857">
      <w:r>
        <w:t>Keep food purchases, packaging, ice, beverages, garnishes, and service supplies aligned with the same forecast. If the sales forecast changes, update the purchasing quantities rather than leaving the original order unchanged.</w:t>
      </w:r>
    </w:p>
    <w:p w14:paraId="27BC7D30" w14:textId="77777777" w:rsidR="00094458" w:rsidRDefault="00000000">
      <w:r>
        <w:t>Keep invoices and supplier records for food purchases. For temporary food operations, inspectors may require proof that food and ice came from approved sources.</w:t>
      </w:r>
    </w:p>
    <w:p w14:paraId="051B624C" w14:textId="77777777" w:rsidR="00094458" w:rsidRDefault="00000000">
      <w:pPr>
        <w:pStyle w:val="Heading1"/>
      </w:pPr>
      <w:r>
        <w:rPr>
          <w:rFonts w:ascii="Aptos" w:hAnsi="Aptos"/>
        </w:rPr>
        <w:t>8. Lock Down Vendors and Rentals in Writing</w:t>
      </w:r>
    </w:p>
    <w:p w14:paraId="0696B882" w14:textId="77777777" w:rsidR="00094458" w:rsidRDefault="00000000">
      <w:r>
        <w:t>Verbal agreements are too easy to misunderstand. Confirm the product or service, quantity, delivery time, setup responsibility, pickup time, fees, deposits, cancellation terms, and contact person in writing.</w:t>
      </w:r>
    </w:p>
    <w:p w14:paraId="5F30FDDC" w14:textId="77777777" w:rsidR="00094458" w:rsidRDefault="00000000">
      <w:r>
        <w:t>For every outside vendor or rental company, confirm:</w:t>
      </w:r>
    </w:p>
    <w:p w14:paraId="7587C852" w14:textId="77777777" w:rsidR="00094458" w:rsidRDefault="00000000" w:rsidP="005B0857">
      <w:pPr>
        <w:pStyle w:val="ListBullet"/>
        <w:numPr>
          <w:ilvl w:val="0"/>
          <w:numId w:val="16"/>
        </w:numPr>
        <w:spacing w:after="50"/>
      </w:pPr>
      <w:r>
        <w:t>What is being delivered and the exact quantity.</w:t>
      </w:r>
    </w:p>
    <w:p w14:paraId="751CE51A" w14:textId="77777777" w:rsidR="00094458" w:rsidRDefault="00000000" w:rsidP="005B0857">
      <w:pPr>
        <w:pStyle w:val="ListBullet"/>
        <w:numPr>
          <w:ilvl w:val="0"/>
          <w:numId w:val="16"/>
        </w:numPr>
        <w:spacing w:after="50"/>
      </w:pPr>
      <w:r>
        <w:t>Delivery window and the person receiving it.</w:t>
      </w:r>
    </w:p>
    <w:p w14:paraId="708E0543" w14:textId="77777777" w:rsidR="00094458" w:rsidRDefault="00000000" w:rsidP="005B0857">
      <w:pPr>
        <w:pStyle w:val="ListBullet"/>
        <w:numPr>
          <w:ilvl w:val="0"/>
          <w:numId w:val="16"/>
        </w:numPr>
        <w:spacing w:after="50"/>
      </w:pPr>
      <w:r>
        <w:t>Setup and breakdown responsibility.</w:t>
      </w:r>
    </w:p>
    <w:p w14:paraId="136CCE0F" w14:textId="77777777" w:rsidR="00094458" w:rsidRDefault="00000000" w:rsidP="005B0857">
      <w:pPr>
        <w:pStyle w:val="ListBullet"/>
        <w:numPr>
          <w:ilvl w:val="0"/>
          <w:numId w:val="16"/>
        </w:numPr>
        <w:spacing w:after="50"/>
      </w:pPr>
      <w:r>
        <w:t>Power, water, space, or access requirements.</w:t>
      </w:r>
    </w:p>
    <w:p w14:paraId="5029CC85" w14:textId="77777777" w:rsidR="00094458" w:rsidRDefault="00000000" w:rsidP="005B0857">
      <w:pPr>
        <w:pStyle w:val="ListBullet"/>
        <w:numPr>
          <w:ilvl w:val="0"/>
          <w:numId w:val="16"/>
        </w:numPr>
        <w:spacing w:after="50"/>
      </w:pPr>
      <w:r>
        <w:t>What happens if equipment is late, damaged, or does not work.</w:t>
      </w:r>
    </w:p>
    <w:p w14:paraId="6E97F78F" w14:textId="77777777" w:rsidR="00094458" w:rsidRDefault="00000000" w:rsidP="005B0857">
      <w:pPr>
        <w:pStyle w:val="ListBullet"/>
        <w:numPr>
          <w:ilvl w:val="0"/>
          <w:numId w:val="16"/>
        </w:numPr>
        <w:spacing w:after="50"/>
      </w:pPr>
      <w:r>
        <w:t>Pickup time and late-return charges.</w:t>
      </w:r>
    </w:p>
    <w:p w14:paraId="570122B5" w14:textId="77777777" w:rsidR="00094458" w:rsidRDefault="00000000" w:rsidP="005B0857">
      <w:pPr>
        <w:pStyle w:val="ListBullet"/>
        <w:numPr>
          <w:ilvl w:val="0"/>
          <w:numId w:val="16"/>
        </w:numPr>
        <w:spacing w:after="50"/>
      </w:pPr>
      <w:r>
        <w:t>Final payment amount and due date.</w:t>
      </w:r>
    </w:p>
    <w:p w14:paraId="619D5A09" w14:textId="77777777" w:rsidR="00094458" w:rsidRDefault="00000000">
      <w:pPr>
        <w:pStyle w:val="Heading1"/>
      </w:pPr>
      <w:r>
        <w:rPr>
          <w:rFonts w:ascii="Aptos" w:hAnsi="Aptos"/>
        </w:rPr>
        <w:t>9. Plan Staffing Around the Work, Not Just the Guest Count</w:t>
      </w:r>
    </w:p>
    <w:p w14:paraId="6C93F4C4" w14:textId="77777777" w:rsidR="00094458" w:rsidRDefault="00000000">
      <w:r>
        <w:t>Include setup, prep, cooking, service, payment, restocking, cleaning, and breakdown when deciding how many people you need. A small event can still fail operationally if one person is expected to cook, take payment, answer guest questions, replenish supplies, and clean at the same time.</w:t>
      </w:r>
    </w:p>
    <w:p w14:paraId="0321F9D2" w14:textId="77777777" w:rsidR="00094458" w:rsidRDefault="00000000">
      <w:r>
        <w:t>Give each person a clear role and reporting point before service starts. Everyone should know arrival time, responsibilities, break plan, closing duties, and who makes final decisions if something changes.</w:t>
      </w:r>
    </w:p>
    <w:tbl>
      <w:tblPr>
        <w:tblW w:w="0" w:type="auto"/>
        <w:jc w:val="center"/>
        <w:tblLayout w:type="fixed"/>
        <w:tblLook w:val="04A0" w:firstRow="1" w:lastRow="0" w:firstColumn="1" w:lastColumn="0" w:noHBand="0" w:noVBand="1"/>
      </w:tblPr>
      <w:tblGrid>
        <w:gridCol w:w="9878"/>
      </w:tblGrid>
      <w:tr w:rsidR="00094458" w14:paraId="5772EF66" w14:textId="77777777">
        <w:trPr>
          <w:cantSplit/>
          <w:jc w:val="center"/>
        </w:trPr>
        <w:tc>
          <w:tcPr>
            <w:tcW w:w="9878" w:type="dxa"/>
            <w:shd w:val="clear" w:color="auto" w:fill="EAF1F8"/>
            <w:tcMar>
              <w:top w:w="120" w:type="dxa"/>
              <w:left w:w="150" w:type="dxa"/>
              <w:bottom w:w="120" w:type="dxa"/>
              <w:right w:w="150" w:type="dxa"/>
            </w:tcMar>
          </w:tcPr>
          <w:p w14:paraId="49798F15" w14:textId="77777777" w:rsidR="00094458" w:rsidRDefault="00000000">
            <w:pPr>
              <w:pStyle w:val="Callout"/>
            </w:pPr>
            <w:r>
              <w:rPr>
                <w:b/>
                <w:color w:val="17365D"/>
              </w:rPr>
              <w:t xml:space="preserve">Staff briefing: </w:t>
            </w:r>
            <w:r>
              <w:t>Before opening, review the menu, sold-out procedure, allergens, guest flow, payment process, emergency contacts, sanitation responsibilities, and what staff should do when a problem needs escalation.</w:t>
            </w:r>
          </w:p>
        </w:tc>
      </w:tr>
    </w:tbl>
    <w:p w14:paraId="75CB07DF" w14:textId="77777777" w:rsidR="00094458" w:rsidRDefault="00000000">
      <w:pPr>
        <w:pStyle w:val="Heading1"/>
      </w:pPr>
      <w:r>
        <w:rPr>
          <w:rFonts w:ascii="Aptos" w:hAnsi="Aptos"/>
        </w:rPr>
        <w:t>10. Plan the Guest Flow Before Guests Arrive</w:t>
      </w:r>
    </w:p>
    <w:p w14:paraId="08F9DC25" w14:textId="77777777" w:rsidR="00094458" w:rsidRDefault="00000000">
      <w:r>
        <w:t>Walk through the event as if you are a guest. Where do you enter? Where is the menu? Where do you order? Where do you pay? Where do you wait? Where do you receive food? Where do you eat? Where do you discard waste? How do you exit?</w:t>
      </w:r>
    </w:p>
    <w:p w14:paraId="747F1ABB" w14:textId="77777777" w:rsidR="00094458" w:rsidRDefault="00000000">
      <w:r>
        <w:t>The goal is to prevent lines from crossing, customers from blocking service areas, and staff from carrying hot food or supplies through crowded waiting areas. Make signs large enough to be understood before a guest reaches the front of the line.</w:t>
      </w:r>
    </w:p>
    <w:p w14:paraId="4B3166FA" w14:textId="77777777" w:rsidR="00094458" w:rsidRDefault="00000000">
      <w:pPr>
        <w:pStyle w:val="Heading1"/>
      </w:pPr>
      <w:r>
        <w:rPr>
          <w:rFonts w:ascii="Aptos" w:hAnsi="Aptos"/>
        </w:rPr>
        <w:t>11. Treat Food Safety as Part of the Operating Plan</w:t>
      </w:r>
    </w:p>
    <w:p w14:paraId="41486627" w14:textId="74FB760F" w:rsidR="00094458" w:rsidRDefault="005B0857">
      <w:r>
        <w:t>Build food safety into transportation, setup, production, holding, service, and cleanup. It should not be added at the end as a separate checklist.</w:t>
      </w:r>
    </w:p>
    <w:p w14:paraId="1183BE23" w14:textId="77777777" w:rsidR="00094458" w:rsidRDefault="00000000" w:rsidP="005B0857">
      <w:pPr>
        <w:pStyle w:val="ListBullet"/>
        <w:numPr>
          <w:ilvl w:val="0"/>
          <w:numId w:val="17"/>
        </w:numPr>
        <w:spacing w:after="50"/>
      </w:pPr>
      <w:r>
        <w:t>Use approved food sources and keep supplier invoices or receipts available.</w:t>
      </w:r>
    </w:p>
    <w:p w14:paraId="062201A3" w14:textId="77777777" w:rsidR="00094458" w:rsidRDefault="00000000" w:rsidP="005B0857">
      <w:pPr>
        <w:pStyle w:val="ListBullet"/>
        <w:numPr>
          <w:ilvl w:val="0"/>
          <w:numId w:val="17"/>
        </w:numPr>
        <w:spacing w:after="50"/>
      </w:pPr>
      <w:r>
        <w:t>Keep raw foods separated from ready-to-eat foods during storage, transport, and preparation.</w:t>
      </w:r>
    </w:p>
    <w:p w14:paraId="61A5712D" w14:textId="77777777" w:rsidR="00094458" w:rsidRDefault="00000000" w:rsidP="005B0857">
      <w:pPr>
        <w:pStyle w:val="ListBullet"/>
        <w:numPr>
          <w:ilvl w:val="0"/>
          <w:numId w:val="17"/>
        </w:numPr>
        <w:spacing w:after="50"/>
      </w:pPr>
      <w:r>
        <w:t>Plan reliable cold holding, hot holding, temperature monitoring, handwashing, sanitizing, and wastewater disposal.</w:t>
      </w:r>
    </w:p>
    <w:p w14:paraId="22F3B692" w14:textId="77777777" w:rsidR="00094458" w:rsidRDefault="00000000" w:rsidP="005B0857">
      <w:pPr>
        <w:pStyle w:val="ListBullet"/>
        <w:numPr>
          <w:ilvl w:val="0"/>
          <w:numId w:val="17"/>
        </w:numPr>
        <w:spacing w:after="50"/>
      </w:pPr>
      <w:r>
        <w:t>Bring working thermometers, sanitizer and appropriate test strips, gloves where appropriate, cleaning cloths, soap, paper towels, and enough food-safe storage containers.</w:t>
      </w:r>
    </w:p>
    <w:p w14:paraId="7AAFD61A" w14:textId="77777777" w:rsidR="00094458" w:rsidRDefault="00000000" w:rsidP="005B0857">
      <w:pPr>
        <w:pStyle w:val="ListBullet"/>
        <w:numPr>
          <w:ilvl w:val="0"/>
          <w:numId w:val="17"/>
        </w:numPr>
        <w:spacing w:after="50"/>
      </w:pPr>
      <w:r>
        <w:t>Protect food and food-contact equipment from weather, customers, dust, pests, and contamination during setup and service.</w:t>
      </w:r>
    </w:p>
    <w:p w14:paraId="46B5A632" w14:textId="77777777" w:rsidR="00094458" w:rsidRDefault="00000000" w:rsidP="005B0857">
      <w:pPr>
        <w:pStyle w:val="ListBullet"/>
        <w:numPr>
          <w:ilvl w:val="0"/>
          <w:numId w:val="17"/>
        </w:numPr>
        <w:spacing w:after="50"/>
      </w:pPr>
      <w:r>
        <w:t>Know what must be discarded if safe time/temperature control is lost or if food has been improperly handled.</w:t>
      </w:r>
    </w:p>
    <w:p w14:paraId="41B5A4A8" w14:textId="77777777" w:rsidR="00094458" w:rsidRDefault="00000000">
      <w:pPr>
        <w:pStyle w:val="Heading1"/>
      </w:pPr>
      <w:r>
        <w:rPr>
          <w:rFonts w:ascii="Aptos" w:hAnsi="Aptos"/>
        </w:rPr>
        <w:t>12. Have a Real Marketing Plan, Not Just a Flyer</w:t>
      </w:r>
    </w:p>
    <w:p w14:paraId="707A885C" w14:textId="4ED2500A" w:rsidR="00094458" w:rsidRDefault="00000000">
      <w:r>
        <w:t>Promotion should tell the right customer what the event is, why it is worth attending, when and where it happens, how to purchase, and whether availability is limited. Do</w:t>
      </w:r>
      <w:r w:rsidR="005B0857">
        <w:t>n't rely on one social-media post to meet</w:t>
      </w:r>
      <w:r>
        <w:t xml:space="preserve"> your attendance goal.</w:t>
      </w:r>
    </w:p>
    <w:p w14:paraId="27CE2EA1" w14:textId="77777777" w:rsidR="00094458" w:rsidRDefault="00000000">
      <w:r>
        <w:t>Use a schedule for announcements, menu reveals, vendor/collaborator posts, reminders, ticket deadlines, and day-of information. If reservations or tickets are part of the event, monitor actual conversions rather than likes and views.</w:t>
      </w:r>
    </w:p>
    <w:tbl>
      <w:tblPr>
        <w:tblW w:w="0" w:type="auto"/>
        <w:jc w:val="center"/>
        <w:tblLayout w:type="fixed"/>
        <w:tblLook w:val="04A0" w:firstRow="1" w:lastRow="0" w:firstColumn="1" w:lastColumn="0" w:noHBand="0" w:noVBand="1"/>
      </w:tblPr>
      <w:tblGrid>
        <w:gridCol w:w="9878"/>
      </w:tblGrid>
      <w:tr w:rsidR="00094458" w14:paraId="3CBEF7BE" w14:textId="77777777">
        <w:trPr>
          <w:cantSplit/>
          <w:jc w:val="center"/>
        </w:trPr>
        <w:tc>
          <w:tcPr>
            <w:tcW w:w="9878" w:type="dxa"/>
            <w:shd w:val="clear" w:color="auto" w:fill="EAF1F8"/>
            <w:tcMar>
              <w:top w:w="120" w:type="dxa"/>
              <w:left w:w="150" w:type="dxa"/>
              <w:bottom w:w="120" w:type="dxa"/>
              <w:right w:w="150" w:type="dxa"/>
            </w:tcMar>
          </w:tcPr>
          <w:p w14:paraId="2BDF9E0C" w14:textId="77777777" w:rsidR="00094458" w:rsidRDefault="00000000">
            <w:pPr>
              <w:pStyle w:val="Callout"/>
            </w:pPr>
            <w:r>
              <w:rPr>
                <w:b/>
                <w:color w:val="17365D"/>
              </w:rPr>
              <w:t xml:space="preserve">Protect the guest experience: </w:t>
            </w:r>
            <w:r>
              <w:t>Do not advertise 'limited' capacity without a real capacity plan, and do not oversell reservations simply because you expect no-shows unless the service model can absorb the risk.</w:t>
            </w:r>
          </w:p>
        </w:tc>
      </w:tr>
    </w:tbl>
    <w:p w14:paraId="13CCDBC5" w14:textId="77777777" w:rsidR="00094458" w:rsidRDefault="00000000">
      <w:pPr>
        <w:pStyle w:val="Heading1"/>
      </w:pPr>
      <w:r>
        <w:rPr>
          <w:rFonts w:ascii="Aptos" w:hAnsi="Aptos"/>
        </w:rPr>
        <w:t>13. Decide in Advance What Happens When Something Goes Wrong</w:t>
      </w:r>
    </w:p>
    <w:p w14:paraId="3517C93E" w14:textId="77777777" w:rsidR="00094458" w:rsidRDefault="00000000">
      <w:r>
        <w:t>Contingency planning does not mean expecting failure. It means deciding what you will do while you still have time to make a good decision.</w:t>
      </w:r>
    </w:p>
    <w:p w14:paraId="6C901D99" w14:textId="77777777" w:rsidR="00094458" w:rsidRDefault="00000000">
      <w:r>
        <w:t>Have a response for the most likely problems:</w:t>
      </w:r>
    </w:p>
    <w:p w14:paraId="6FCC5AC2" w14:textId="77777777" w:rsidR="00094458" w:rsidRDefault="00000000" w:rsidP="005B0857">
      <w:pPr>
        <w:pStyle w:val="ListBullet"/>
        <w:numPr>
          <w:ilvl w:val="0"/>
          <w:numId w:val="18"/>
        </w:numPr>
        <w:spacing w:after="50"/>
      </w:pPr>
      <w:r>
        <w:t>A staff member does not show up.</w:t>
      </w:r>
    </w:p>
    <w:p w14:paraId="0DC2BF23" w14:textId="77777777" w:rsidR="00094458" w:rsidRDefault="00000000" w:rsidP="005B0857">
      <w:pPr>
        <w:pStyle w:val="ListBullet"/>
        <w:numPr>
          <w:ilvl w:val="0"/>
          <w:numId w:val="18"/>
        </w:numPr>
        <w:spacing w:after="50"/>
      </w:pPr>
      <w:r>
        <w:t>A delivery is late or incomplete.</w:t>
      </w:r>
    </w:p>
    <w:p w14:paraId="032B6288" w14:textId="77777777" w:rsidR="00094458" w:rsidRDefault="00000000" w:rsidP="005B0857">
      <w:pPr>
        <w:pStyle w:val="ListBullet"/>
        <w:numPr>
          <w:ilvl w:val="0"/>
          <w:numId w:val="18"/>
        </w:numPr>
        <w:spacing w:after="50"/>
      </w:pPr>
      <w:r>
        <w:t>A refrigerator, burner, POS device, or other essential equipment fails.</w:t>
      </w:r>
    </w:p>
    <w:p w14:paraId="326FB374" w14:textId="77777777" w:rsidR="00094458" w:rsidRDefault="00000000" w:rsidP="005B0857">
      <w:pPr>
        <w:pStyle w:val="ListBullet"/>
        <w:numPr>
          <w:ilvl w:val="0"/>
          <w:numId w:val="18"/>
        </w:numPr>
        <w:spacing w:after="50"/>
      </w:pPr>
      <w:r>
        <w:t>Internet or card processing is unavailable.</w:t>
      </w:r>
    </w:p>
    <w:p w14:paraId="02443DE4" w14:textId="77777777" w:rsidR="00094458" w:rsidRDefault="00000000" w:rsidP="005B0857">
      <w:pPr>
        <w:pStyle w:val="ListBullet"/>
        <w:numPr>
          <w:ilvl w:val="0"/>
          <w:numId w:val="18"/>
        </w:numPr>
        <w:spacing w:after="50"/>
      </w:pPr>
      <w:r>
        <w:t>Attendance is much lower than expected.</w:t>
      </w:r>
    </w:p>
    <w:p w14:paraId="0F0708A8" w14:textId="77777777" w:rsidR="00094458" w:rsidRDefault="00000000" w:rsidP="005B0857">
      <w:pPr>
        <w:pStyle w:val="ListBullet"/>
        <w:numPr>
          <w:ilvl w:val="0"/>
          <w:numId w:val="18"/>
        </w:numPr>
        <w:spacing w:after="50"/>
      </w:pPr>
      <w:r>
        <w:t>Attendance is much higher than expected.</w:t>
      </w:r>
    </w:p>
    <w:p w14:paraId="1BE3CAAF" w14:textId="77777777" w:rsidR="00094458" w:rsidRDefault="00000000" w:rsidP="005B0857">
      <w:pPr>
        <w:pStyle w:val="ListBullet"/>
        <w:numPr>
          <w:ilvl w:val="0"/>
          <w:numId w:val="18"/>
        </w:numPr>
        <w:spacing w:after="50"/>
      </w:pPr>
      <w:r>
        <w:t>A menu item sells out early.</w:t>
      </w:r>
    </w:p>
    <w:p w14:paraId="0CE36828" w14:textId="77777777" w:rsidR="00094458" w:rsidRDefault="00000000" w:rsidP="005B0857">
      <w:pPr>
        <w:pStyle w:val="ListBullet"/>
        <w:numPr>
          <w:ilvl w:val="0"/>
          <w:numId w:val="18"/>
        </w:numPr>
        <w:spacing w:after="50"/>
      </w:pPr>
      <w:r>
        <w:t>Weather affects an outdoor event.</w:t>
      </w:r>
    </w:p>
    <w:p w14:paraId="0B1F6C13" w14:textId="77777777" w:rsidR="00094458" w:rsidRDefault="00000000" w:rsidP="005B0857">
      <w:pPr>
        <w:pStyle w:val="ListBullet"/>
        <w:numPr>
          <w:ilvl w:val="0"/>
          <w:numId w:val="18"/>
        </w:numPr>
        <w:spacing w:after="50"/>
      </w:pPr>
      <w:r>
        <w:t>A guest reports an allergen concern or food-safety issue.</w:t>
      </w:r>
    </w:p>
    <w:p w14:paraId="4F81C874" w14:textId="77777777" w:rsidR="00094458" w:rsidRDefault="00000000" w:rsidP="005B0857">
      <w:pPr>
        <w:pStyle w:val="ListBullet"/>
        <w:numPr>
          <w:ilvl w:val="0"/>
          <w:numId w:val="18"/>
        </w:numPr>
        <w:spacing w:after="50"/>
      </w:pPr>
      <w:r>
        <w:t>The venue changes access time, loading conditions, or another operating detail.</w:t>
      </w:r>
    </w:p>
    <w:tbl>
      <w:tblPr>
        <w:tblW w:w="0" w:type="auto"/>
        <w:jc w:val="center"/>
        <w:tblLayout w:type="fixed"/>
        <w:tblLook w:val="04A0" w:firstRow="1" w:lastRow="0" w:firstColumn="1" w:lastColumn="0" w:noHBand="0" w:noVBand="1"/>
      </w:tblPr>
      <w:tblGrid>
        <w:gridCol w:w="9878"/>
      </w:tblGrid>
      <w:tr w:rsidR="00094458" w14:paraId="674FE7EC" w14:textId="77777777">
        <w:trPr>
          <w:cantSplit/>
          <w:jc w:val="center"/>
        </w:trPr>
        <w:tc>
          <w:tcPr>
            <w:tcW w:w="9878" w:type="dxa"/>
            <w:shd w:val="clear" w:color="auto" w:fill="EAF1F8"/>
            <w:tcMar>
              <w:top w:w="120" w:type="dxa"/>
              <w:left w:w="150" w:type="dxa"/>
              <w:bottom w:w="120" w:type="dxa"/>
              <w:right w:w="150" w:type="dxa"/>
            </w:tcMar>
          </w:tcPr>
          <w:p w14:paraId="40F3E2C8" w14:textId="77777777" w:rsidR="00094458" w:rsidRDefault="00000000">
            <w:pPr>
              <w:pStyle w:val="Callout"/>
            </w:pPr>
            <w:r>
              <w:rPr>
                <w:b/>
                <w:color w:val="17365D"/>
              </w:rPr>
              <w:t xml:space="preserve">Set decision limits: </w:t>
            </w:r>
            <w:r>
              <w:t>Know who can authorize an emergency purchase, menu change, refund, service stop, or other major operational decision. During service is the wrong time to argue about authority.</w:t>
            </w:r>
          </w:p>
        </w:tc>
      </w:tr>
    </w:tbl>
    <w:p w14:paraId="1C28C443" w14:textId="77777777" w:rsidR="00094458" w:rsidRDefault="00000000">
      <w:pPr>
        <w:pStyle w:val="Heading1"/>
      </w:pPr>
      <w:r>
        <w:rPr>
          <w:rFonts w:ascii="Aptos" w:hAnsi="Aptos"/>
        </w:rPr>
        <w:t>14. On Event Day, Control the Operation</w:t>
      </w:r>
    </w:p>
    <w:p w14:paraId="62FDF5B6" w14:textId="77777777" w:rsidR="00094458" w:rsidRDefault="00000000">
      <w:r>
        <w:t>Arrive with enough time to solve problems before guests arrive. Verify deliveries, equipment, food temperatures, sanitation setup, POS operation, signage, lighting, staff assignments, inventory, and emergency contacts before opening.</w:t>
      </w:r>
    </w:p>
    <w:p w14:paraId="43C829DF" w14:textId="77777777" w:rsidR="00094458" w:rsidRDefault="00000000">
      <w:r>
        <w:t>During service, keep watching:</w:t>
      </w:r>
    </w:p>
    <w:p w14:paraId="70FB3949" w14:textId="77777777" w:rsidR="00094458" w:rsidRDefault="00000000" w:rsidP="005B0857">
      <w:pPr>
        <w:pStyle w:val="ListBullet"/>
        <w:numPr>
          <w:ilvl w:val="0"/>
          <w:numId w:val="19"/>
        </w:numPr>
        <w:spacing w:after="50"/>
      </w:pPr>
      <w:r>
        <w:t>Sales pace and average check</w:t>
      </w:r>
    </w:p>
    <w:p w14:paraId="70D18739" w14:textId="77777777" w:rsidR="00094458" w:rsidRDefault="00000000" w:rsidP="005B0857">
      <w:pPr>
        <w:pStyle w:val="ListBullet"/>
        <w:numPr>
          <w:ilvl w:val="0"/>
          <w:numId w:val="19"/>
        </w:numPr>
        <w:spacing w:after="50"/>
      </w:pPr>
      <w:r>
        <w:t>Food and beverage inventory</w:t>
      </w:r>
    </w:p>
    <w:p w14:paraId="313D9084" w14:textId="77777777" w:rsidR="00094458" w:rsidRDefault="00000000" w:rsidP="005B0857">
      <w:pPr>
        <w:pStyle w:val="ListBullet"/>
        <w:numPr>
          <w:ilvl w:val="0"/>
          <w:numId w:val="19"/>
        </w:numPr>
        <w:spacing w:after="50"/>
      </w:pPr>
      <w:r>
        <w:t>Wait times and bottlenecks</w:t>
      </w:r>
    </w:p>
    <w:p w14:paraId="21DDE6B4" w14:textId="77777777" w:rsidR="00094458" w:rsidRDefault="00000000" w:rsidP="005B0857">
      <w:pPr>
        <w:pStyle w:val="ListBullet"/>
        <w:numPr>
          <w:ilvl w:val="0"/>
          <w:numId w:val="19"/>
        </w:numPr>
        <w:spacing w:after="50"/>
      </w:pPr>
      <w:r>
        <w:t>Holding temperatures and sanitation</w:t>
      </w:r>
    </w:p>
    <w:p w14:paraId="58E85D8F" w14:textId="77777777" w:rsidR="00094458" w:rsidRDefault="00000000" w:rsidP="005B0857">
      <w:pPr>
        <w:pStyle w:val="ListBullet"/>
        <w:numPr>
          <w:ilvl w:val="0"/>
          <w:numId w:val="19"/>
        </w:numPr>
        <w:spacing w:after="50"/>
      </w:pPr>
      <w:r>
        <w:t>Labor coverage and staff fatigue</w:t>
      </w:r>
    </w:p>
    <w:p w14:paraId="655A0C71" w14:textId="77777777" w:rsidR="00094458" w:rsidRDefault="00000000" w:rsidP="005B0857">
      <w:pPr>
        <w:pStyle w:val="ListBullet"/>
        <w:numPr>
          <w:ilvl w:val="0"/>
          <w:numId w:val="19"/>
        </w:numPr>
        <w:spacing w:after="50"/>
      </w:pPr>
      <w:r>
        <w:t>Guest complaints or recurring questions</w:t>
      </w:r>
    </w:p>
    <w:p w14:paraId="4A9C2E8E" w14:textId="77777777" w:rsidR="00094458" w:rsidRDefault="00000000" w:rsidP="005B0857">
      <w:pPr>
        <w:pStyle w:val="ListBullet"/>
        <w:numPr>
          <w:ilvl w:val="0"/>
          <w:numId w:val="19"/>
        </w:numPr>
        <w:spacing w:after="50"/>
      </w:pPr>
      <w:r>
        <w:t>Items approaching sellout</w:t>
      </w:r>
    </w:p>
    <w:p w14:paraId="64B2DFD1" w14:textId="77777777" w:rsidR="00094458" w:rsidRDefault="00000000" w:rsidP="005B0857">
      <w:pPr>
        <w:pStyle w:val="ListBullet"/>
        <w:numPr>
          <w:ilvl w:val="0"/>
          <w:numId w:val="19"/>
        </w:numPr>
        <w:spacing w:after="50"/>
      </w:pPr>
      <w:r>
        <w:t>Cash/POS issues and transaction failures</w:t>
      </w:r>
    </w:p>
    <w:p w14:paraId="3D4133C9" w14:textId="77777777" w:rsidR="00094458" w:rsidRDefault="00000000">
      <w:r>
        <w:t>Closing is part of the event plan. Leave enough labor and time for safe food disposition, equipment shutdown, packing, waste removal, cleaning, rental pickup, final venue inspection, and securing cash or payment records.</w:t>
      </w:r>
    </w:p>
    <w:p w14:paraId="096C7E37" w14:textId="77777777" w:rsidR="00094458" w:rsidRDefault="00000000">
      <w:pPr>
        <w:pStyle w:val="Heading1"/>
      </w:pPr>
      <w:r>
        <w:rPr>
          <w:rFonts w:ascii="Aptos" w:hAnsi="Aptos"/>
        </w:rPr>
        <w:t xml:space="preserve">15. Review the Event </w:t>
      </w:r>
      <w:proofErr w:type="gramStart"/>
      <w:r>
        <w:rPr>
          <w:rFonts w:ascii="Aptos" w:hAnsi="Aptos"/>
        </w:rPr>
        <w:t>With</w:t>
      </w:r>
      <w:proofErr w:type="gramEnd"/>
      <w:r>
        <w:rPr>
          <w:rFonts w:ascii="Aptos" w:hAnsi="Aptos"/>
        </w:rPr>
        <w:t xml:space="preserve"> Actual Numbers</w:t>
      </w:r>
    </w:p>
    <w:p w14:paraId="2232AF71" w14:textId="77777777" w:rsidR="00094458" w:rsidRDefault="00000000">
      <w:r>
        <w:t>After the event, compare what you expected with what actually happened. This is where one pop-up becomes useful experience for the next one.</w:t>
      </w:r>
    </w:p>
    <w:p w14:paraId="0D814304" w14:textId="77777777" w:rsidR="00094458" w:rsidRDefault="00000000">
      <w:r>
        <w:t>Review:</w:t>
      </w:r>
    </w:p>
    <w:p w14:paraId="32F4B670" w14:textId="77777777" w:rsidR="00094458" w:rsidRDefault="00000000" w:rsidP="005B0857">
      <w:pPr>
        <w:pStyle w:val="ListBullet"/>
        <w:numPr>
          <w:ilvl w:val="0"/>
          <w:numId w:val="20"/>
        </w:numPr>
        <w:spacing w:after="50"/>
      </w:pPr>
      <w:r>
        <w:t>Actual attendance and number of transactions</w:t>
      </w:r>
    </w:p>
    <w:p w14:paraId="7107B330" w14:textId="77777777" w:rsidR="00094458" w:rsidRDefault="00000000" w:rsidP="005B0857">
      <w:pPr>
        <w:pStyle w:val="ListBullet"/>
        <w:numPr>
          <w:ilvl w:val="0"/>
          <w:numId w:val="20"/>
        </w:numPr>
        <w:spacing w:after="50"/>
      </w:pPr>
      <w:r>
        <w:t>Gross sales and average customer spend</w:t>
      </w:r>
    </w:p>
    <w:p w14:paraId="4F7223BC" w14:textId="77777777" w:rsidR="00094458" w:rsidRDefault="00000000" w:rsidP="005B0857">
      <w:pPr>
        <w:pStyle w:val="ListBullet"/>
        <w:numPr>
          <w:ilvl w:val="0"/>
          <w:numId w:val="20"/>
        </w:numPr>
        <w:spacing w:after="50"/>
      </w:pPr>
      <w:r>
        <w:t>Food cost and total operating cost</w:t>
      </w:r>
    </w:p>
    <w:p w14:paraId="68D1C154" w14:textId="77777777" w:rsidR="00094458" w:rsidRDefault="00000000" w:rsidP="005B0857">
      <w:pPr>
        <w:pStyle w:val="ListBullet"/>
        <w:numPr>
          <w:ilvl w:val="0"/>
          <w:numId w:val="20"/>
        </w:numPr>
        <w:spacing w:after="50"/>
      </w:pPr>
      <w:r>
        <w:t>Labor cost</w:t>
      </w:r>
    </w:p>
    <w:p w14:paraId="51F2B225" w14:textId="77777777" w:rsidR="00094458" w:rsidRDefault="00000000" w:rsidP="005B0857">
      <w:pPr>
        <w:pStyle w:val="ListBullet"/>
        <w:numPr>
          <w:ilvl w:val="0"/>
          <w:numId w:val="20"/>
        </w:numPr>
        <w:spacing w:after="50"/>
      </w:pPr>
      <w:r>
        <w:t>Waste and leftover product</w:t>
      </w:r>
    </w:p>
    <w:p w14:paraId="66A90E3B" w14:textId="77777777" w:rsidR="00094458" w:rsidRDefault="00000000" w:rsidP="005B0857">
      <w:pPr>
        <w:pStyle w:val="ListBullet"/>
        <w:numPr>
          <w:ilvl w:val="0"/>
          <w:numId w:val="20"/>
        </w:numPr>
        <w:spacing w:after="50"/>
      </w:pPr>
      <w:r>
        <w:t>Best- and worst-selling items</w:t>
      </w:r>
    </w:p>
    <w:p w14:paraId="7E93D0A3" w14:textId="77777777" w:rsidR="00094458" w:rsidRDefault="00000000" w:rsidP="005B0857">
      <w:pPr>
        <w:pStyle w:val="ListBullet"/>
        <w:numPr>
          <w:ilvl w:val="0"/>
          <w:numId w:val="20"/>
        </w:numPr>
        <w:spacing w:after="50"/>
      </w:pPr>
      <w:r>
        <w:t>Peak service times and longest waits</w:t>
      </w:r>
    </w:p>
    <w:p w14:paraId="07B7E9F1" w14:textId="77777777" w:rsidR="00094458" w:rsidRDefault="00000000" w:rsidP="005B0857">
      <w:pPr>
        <w:pStyle w:val="ListBullet"/>
        <w:numPr>
          <w:ilvl w:val="0"/>
          <w:numId w:val="20"/>
        </w:numPr>
        <w:spacing w:after="50"/>
      </w:pPr>
      <w:r>
        <w:t>Marketing sources that actually produced customers</w:t>
      </w:r>
    </w:p>
    <w:p w14:paraId="3596653E" w14:textId="77777777" w:rsidR="00094458" w:rsidRDefault="00000000" w:rsidP="005B0857">
      <w:pPr>
        <w:pStyle w:val="ListBullet"/>
        <w:numPr>
          <w:ilvl w:val="0"/>
          <w:numId w:val="20"/>
        </w:numPr>
        <w:spacing w:after="50"/>
      </w:pPr>
      <w:r>
        <w:t>Equipment or venue problems</w:t>
      </w:r>
    </w:p>
    <w:p w14:paraId="65B6D92F" w14:textId="2B55FCBF" w:rsidR="00094458" w:rsidRDefault="00000000" w:rsidP="005B0857">
      <w:pPr>
        <w:pStyle w:val="ListBullet"/>
        <w:numPr>
          <w:ilvl w:val="0"/>
          <w:numId w:val="20"/>
        </w:numPr>
        <w:spacing w:after="50"/>
      </w:pPr>
      <w:r>
        <w:t xml:space="preserve">Customer feedback, complaints, and </w:t>
      </w:r>
      <w:r w:rsidR="005B0857">
        <w:t>repeat interest</w:t>
      </w:r>
    </w:p>
    <w:p w14:paraId="32B6BBDD" w14:textId="77777777" w:rsidR="00094458" w:rsidRDefault="00000000" w:rsidP="005B0857">
      <w:pPr>
        <w:pStyle w:val="ListBullet"/>
        <w:numPr>
          <w:ilvl w:val="0"/>
          <w:numId w:val="20"/>
        </w:numPr>
        <w:spacing w:after="50"/>
      </w:pPr>
      <w:r>
        <w:t>Actual profit or loss</w:t>
      </w:r>
    </w:p>
    <w:p w14:paraId="2751D452" w14:textId="42ABF36F" w:rsidR="00094458" w:rsidRDefault="00000000">
      <w:r>
        <w:t xml:space="preserve">Keep the final budget, invoices, sales report, menu, production notes, vendor contacts, </w:t>
      </w:r>
      <w:r w:rsidR="005B0857">
        <w:t>setup photos</w:t>
      </w:r>
      <w:r>
        <w:t>, and a short after-action note. That record will make the next event easier to price and plan.</w:t>
      </w:r>
    </w:p>
    <w:p w14:paraId="094B08C3" w14:textId="77777777" w:rsidR="00094458" w:rsidRDefault="00000000">
      <w:pPr>
        <w:pStyle w:val="Heading1"/>
      </w:pPr>
      <w:r>
        <w:rPr>
          <w:rFonts w:ascii="Aptos" w:hAnsi="Aptos"/>
        </w:rPr>
        <w:t>Final Advice</w:t>
      </w:r>
    </w:p>
    <w:p w14:paraId="1E9BD272" w14:textId="0C9BD4F2" w:rsidR="00094458" w:rsidRDefault="00000000">
      <w:pPr>
        <w:pStyle w:val="Lead"/>
      </w:pPr>
      <w:r>
        <w:t xml:space="preserve">Do not try to make the first plan perfect on paper. Make it complete enough </w:t>
      </w:r>
      <w:r w:rsidR="005B0857">
        <w:t>to test the important assumptions</w:t>
      </w:r>
      <w:r>
        <w:t xml:space="preserve">. If the numbers do not work, change the numbers. If the menu is too slow, change the menu. If the venue cannot support the operation, change the venue. If </w:t>
      </w:r>
      <w:r w:rsidR="005B0857">
        <w:t>you can't meet a permit deadline</w:t>
      </w:r>
      <w:r>
        <w:t>, change the date or format. The point is to discover those problems while you still have choices.</w:t>
      </w:r>
    </w:p>
    <w:tbl>
      <w:tblPr>
        <w:tblW w:w="0" w:type="auto"/>
        <w:jc w:val="center"/>
        <w:tblLayout w:type="fixed"/>
        <w:tblLook w:val="04A0" w:firstRow="1" w:lastRow="0" w:firstColumn="1" w:lastColumn="0" w:noHBand="0" w:noVBand="1"/>
      </w:tblPr>
      <w:tblGrid>
        <w:gridCol w:w="9878"/>
      </w:tblGrid>
      <w:tr w:rsidR="00094458" w14:paraId="227CB635" w14:textId="77777777">
        <w:trPr>
          <w:cantSplit/>
          <w:jc w:val="center"/>
        </w:trPr>
        <w:tc>
          <w:tcPr>
            <w:tcW w:w="9878" w:type="dxa"/>
            <w:shd w:val="clear" w:color="auto" w:fill="EAF1F8"/>
            <w:tcMar>
              <w:top w:w="120" w:type="dxa"/>
              <w:left w:w="150" w:type="dxa"/>
              <w:bottom w:w="120" w:type="dxa"/>
              <w:right w:w="150" w:type="dxa"/>
            </w:tcMar>
          </w:tcPr>
          <w:p w14:paraId="5AE51C54" w14:textId="77777777" w:rsidR="00094458" w:rsidRDefault="00000000">
            <w:pPr>
              <w:pStyle w:val="Callout"/>
            </w:pPr>
            <w:r>
              <w:rPr>
                <w:b/>
                <w:color w:val="17365D"/>
              </w:rPr>
              <w:t xml:space="preserve">Before you announce the event: </w:t>
            </w:r>
            <w:r>
              <w:t>You should be able to explain the concept, venue, legal requirements, budget, break-even point, menu, production capacity, staffing, purchasing plan, guest flow, marketing plan, and contingency plan without guessing.</w:t>
            </w:r>
          </w:p>
        </w:tc>
      </w:tr>
    </w:tbl>
    <w:p w14:paraId="2566D41D" w14:textId="77777777" w:rsidR="00094458" w:rsidRDefault="00094458">
      <w:pPr>
        <w:spacing w:after="20"/>
      </w:pPr>
    </w:p>
    <w:p w14:paraId="719C7754" w14:textId="77777777" w:rsidR="00094458" w:rsidRDefault="00000000">
      <w:pPr>
        <w:pStyle w:val="Heading1"/>
      </w:pPr>
      <w:r>
        <w:rPr>
          <w:rFonts w:ascii="Aptos" w:hAnsi="Aptos"/>
        </w:rPr>
        <w:t>Current Official References</w:t>
      </w:r>
    </w:p>
    <w:p w14:paraId="1A9AD05F" w14:textId="77777777" w:rsidR="00094458" w:rsidRDefault="00000000">
      <w:pPr>
        <w:pStyle w:val="Lead"/>
      </w:pPr>
      <w:r>
        <w:t>The following official sources were checked for the New York City/New York State notes in this guide. Requirements can change, so re-check the applicable agency before submitting an application or relying on a deadline.</w:t>
      </w:r>
    </w:p>
    <w:p w14:paraId="403893EB" w14:textId="77777777" w:rsidR="00094458" w:rsidRDefault="00000000">
      <w:pPr>
        <w:spacing w:after="140"/>
      </w:pPr>
      <w:r>
        <w:rPr>
          <w:b/>
          <w:color w:val="17365D"/>
          <w:sz w:val="20"/>
        </w:rPr>
        <w:t>NYC Health - Food Vending at Temporary Events</w:t>
      </w:r>
      <w:r>
        <w:rPr>
          <w:b/>
          <w:color w:val="17365D"/>
          <w:sz w:val="20"/>
        </w:rPr>
        <w:br/>
      </w:r>
      <w:hyperlink r:id="rId8">
        <w:r>
          <w:rPr>
            <w:color w:val="2F5597"/>
            <w:u w:val="single"/>
          </w:rPr>
          <w:t>https://www.nyc.gov/site/doh/business/food-operators/temporary-food-service-establishments.page</w:t>
        </w:r>
      </w:hyperlink>
    </w:p>
    <w:p w14:paraId="558F7C2E" w14:textId="77777777" w:rsidR="00094458" w:rsidRDefault="00000000">
      <w:pPr>
        <w:spacing w:after="140"/>
      </w:pPr>
      <w:r>
        <w:rPr>
          <w:b/>
          <w:color w:val="17365D"/>
          <w:sz w:val="20"/>
        </w:rPr>
        <w:t>NYC Health - Self-Inspection Checklist for Food Vendors at Temporary Events</w:t>
      </w:r>
      <w:r>
        <w:rPr>
          <w:b/>
          <w:color w:val="17365D"/>
          <w:sz w:val="20"/>
        </w:rPr>
        <w:br/>
      </w:r>
      <w:hyperlink r:id="rId9">
        <w:r>
          <w:rPr>
            <w:color w:val="2F5597"/>
            <w:u w:val="single"/>
          </w:rPr>
          <w:t>https://www.nyc.gov/site/doh/business/food-operators/self-inspection-checklist-temporary-events.page</w:t>
        </w:r>
      </w:hyperlink>
    </w:p>
    <w:p w14:paraId="7C9BDA6E" w14:textId="77777777" w:rsidR="00094458" w:rsidRDefault="00000000">
      <w:pPr>
        <w:spacing w:after="140"/>
      </w:pPr>
      <w:r>
        <w:rPr>
          <w:b/>
          <w:color w:val="17365D"/>
          <w:sz w:val="20"/>
        </w:rPr>
        <w:t>NYC311 - Temporary Food Service Establishment Permit</w:t>
      </w:r>
      <w:r>
        <w:rPr>
          <w:b/>
          <w:color w:val="17365D"/>
          <w:sz w:val="20"/>
        </w:rPr>
        <w:br/>
      </w:r>
      <w:hyperlink r:id="rId10">
        <w:r>
          <w:rPr>
            <w:color w:val="2F5597"/>
            <w:u w:val="single"/>
          </w:rPr>
          <w:t>https://portal.311.nyc.gov/article/?kanumber=KA-01825</w:t>
        </w:r>
      </w:hyperlink>
    </w:p>
    <w:p w14:paraId="0217B97B" w14:textId="77777777" w:rsidR="00094458" w:rsidRDefault="00000000">
      <w:pPr>
        <w:spacing w:after="140"/>
      </w:pPr>
      <w:r>
        <w:rPr>
          <w:b/>
          <w:color w:val="17365D"/>
          <w:sz w:val="20"/>
        </w:rPr>
        <w:t>NYC Citywide Event Coordination and Management - Street Activity Permit Office (SAPO)</w:t>
      </w:r>
      <w:r>
        <w:rPr>
          <w:b/>
          <w:color w:val="17365D"/>
          <w:sz w:val="20"/>
        </w:rPr>
        <w:br/>
      </w:r>
      <w:hyperlink r:id="rId11">
        <w:r>
          <w:rPr>
            <w:color w:val="2F5597"/>
            <w:u w:val="single"/>
          </w:rPr>
          <w:t>https://www.nyc.gov/site/cecm/about/sapo.page</w:t>
        </w:r>
      </w:hyperlink>
    </w:p>
    <w:p w14:paraId="63335F8D" w14:textId="77777777" w:rsidR="00094458" w:rsidRDefault="00000000">
      <w:pPr>
        <w:spacing w:after="140"/>
      </w:pPr>
      <w:r>
        <w:rPr>
          <w:b/>
          <w:color w:val="17365D"/>
          <w:sz w:val="20"/>
        </w:rPr>
        <w:t>NYC CECM - Street Events</w:t>
      </w:r>
      <w:r>
        <w:rPr>
          <w:b/>
          <w:color w:val="17365D"/>
          <w:sz w:val="20"/>
        </w:rPr>
        <w:br/>
      </w:r>
      <w:hyperlink r:id="rId12">
        <w:r>
          <w:rPr>
            <w:color w:val="2F5597"/>
            <w:u w:val="single"/>
          </w:rPr>
          <w:t>https://www.nyc.gov/site/cecm/permitting/permit-types/street-events.page</w:t>
        </w:r>
      </w:hyperlink>
    </w:p>
    <w:p w14:paraId="44E58316" w14:textId="77777777" w:rsidR="00094458" w:rsidRDefault="00000000">
      <w:pPr>
        <w:spacing w:after="140"/>
      </w:pPr>
      <w:r>
        <w:rPr>
          <w:b/>
          <w:color w:val="17365D"/>
          <w:sz w:val="20"/>
        </w:rPr>
        <w:t>New York State Department of Taxation and Finance - How to Register for New York State Sales Tax</w:t>
      </w:r>
      <w:r>
        <w:rPr>
          <w:b/>
          <w:color w:val="17365D"/>
          <w:sz w:val="20"/>
        </w:rPr>
        <w:br/>
      </w:r>
      <w:hyperlink r:id="rId13">
        <w:r>
          <w:rPr>
            <w:color w:val="2F5597"/>
            <w:u w:val="single"/>
          </w:rPr>
          <w:t>https://www.tax.ny.gov/pubs_and_bulls/tg_bulletins/st/how_to_register_for_nys_sales_tax.htm</w:t>
        </w:r>
      </w:hyperlink>
    </w:p>
    <w:p w14:paraId="33E2ABD3" w14:textId="77777777" w:rsidR="00094458" w:rsidRDefault="00000000">
      <w:pPr>
        <w:spacing w:after="140"/>
      </w:pPr>
      <w:r>
        <w:rPr>
          <w:b/>
          <w:color w:val="17365D"/>
          <w:sz w:val="20"/>
        </w:rPr>
        <w:t>New York State Department of Taxation and Finance - Selling Products or Services</w:t>
      </w:r>
      <w:r>
        <w:rPr>
          <w:b/>
          <w:color w:val="17365D"/>
          <w:sz w:val="20"/>
        </w:rPr>
        <w:br/>
      </w:r>
      <w:hyperlink r:id="rId14">
        <w:r>
          <w:rPr>
            <w:color w:val="2F5597"/>
            <w:u w:val="single"/>
          </w:rPr>
          <w:t>https://www.tax.ny.gov/bus/doingbus/sell.htm</w:t>
        </w:r>
      </w:hyperlink>
    </w:p>
    <w:p w14:paraId="19E68669" w14:textId="77777777" w:rsidR="00094458" w:rsidRDefault="00000000">
      <w:pPr>
        <w:pStyle w:val="SmallText"/>
      </w:pPr>
      <w:r>
        <w:t>Reference check date: September 11, 2026. This guide is practical planning advice, not legal, tax, insurance, or licensing advice. Confirm requirements for the actual event location and business structure.</w:t>
      </w:r>
    </w:p>
    <w:sectPr w:rsidR="00094458" w:rsidSect="00034616">
      <w:headerReference w:type="default" r:id="rId15"/>
      <w:footerReference w:type="default" r:id="rId16"/>
      <w:pgSz w:w="12240" w:h="15840"/>
      <w:pgMar w:top="1080"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01EED" w14:textId="77777777" w:rsidR="00345ECA" w:rsidRDefault="00345ECA">
      <w:pPr>
        <w:spacing w:after="0" w:line="240" w:lineRule="auto"/>
      </w:pPr>
      <w:r>
        <w:separator/>
      </w:r>
    </w:p>
  </w:endnote>
  <w:endnote w:type="continuationSeparator" w:id="0">
    <w:p w14:paraId="0A9E2A44" w14:textId="77777777" w:rsidR="00345ECA" w:rsidRDefault="00345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625473"/>
      <w:docPartObj>
        <w:docPartGallery w:val="Page Numbers (Bottom of Page)"/>
        <w:docPartUnique/>
      </w:docPartObj>
    </w:sdtPr>
    <w:sdtEndPr>
      <w:rPr>
        <w:color w:val="7F7F7F" w:themeColor="background1" w:themeShade="7F"/>
        <w:spacing w:val="60"/>
      </w:rPr>
    </w:sdtEndPr>
    <w:sdtContent>
      <w:p w14:paraId="0C1643EB" w14:textId="2A093220" w:rsidR="00314013" w:rsidRDefault="0031401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C2DC4E" w14:textId="6FD6520A" w:rsidR="00094458" w:rsidRDefault="0009445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57CEB" w14:textId="77777777" w:rsidR="00345ECA" w:rsidRDefault="00345ECA">
      <w:pPr>
        <w:spacing w:after="0" w:line="240" w:lineRule="auto"/>
      </w:pPr>
      <w:r>
        <w:separator/>
      </w:r>
    </w:p>
  </w:footnote>
  <w:footnote w:type="continuationSeparator" w:id="0">
    <w:p w14:paraId="5AB5F2DD" w14:textId="77777777" w:rsidR="00345ECA" w:rsidRDefault="00345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8C21D" w14:textId="77777777" w:rsidR="00094458" w:rsidRDefault="00000000">
    <w:pPr>
      <w:pStyle w:val="Header"/>
      <w:jc w:val="right"/>
    </w:pPr>
    <w:r>
      <w:rPr>
        <w:b/>
        <w:sz w:val="17"/>
      </w:rPr>
      <w:t>POP-UP EVENT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B1B60"/>
    <w:multiLevelType w:val="hybridMultilevel"/>
    <w:tmpl w:val="D5B4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D61CCE"/>
    <w:multiLevelType w:val="hybridMultilevel"/>
    <w:tmpl w:val="67F6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92B5B"/>
    <w:multiLevelType w:val="hybridMultilevel"/>
    <w:tmpl w:val="0B4E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F3110"/>
    <w:multiLevelType w:val="hybridMultilevel"/>
    <w:tmpl w:val="F79A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50B13"/>
    <w:multiLevelType w:val="hybridMultilevel"/>
    <w:tmpl w:val="F868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F71399"/>
    <w:multiLevelType w:val="hybridMultilevel"/>
    <w:tmpl w:val="15166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871B68"/>
    <w:multiLevelType w:val="hybridMultilevel"/>
    <w:tmpl w:val="36D0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7079A7"/>
    <w:multiLevelType w:val="hybridMultilevel"/>
    <w:tmpl w:val="8FD0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B75052"/>
    <w:multiLevelType w:val="hybridMultilevel"/>
    <w:tmpl w:val="230C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FD2983"/>
    <w:multiLevelType w:val="hybridMultilevel"/>
    <w:tmpl w:val="A8AC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A90273"/>
    <w:multiLevelType w:val="hybridMultilevel"/>
    <w:tmpl w:val="55B0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DE443E"/>
    <w:multiLevelType w:val="hybridMultilevel"/>
    <w:tmpl w:val="60E0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11469B"/>
    <w:multiLevelType w:val="hybridMultilevel"/>
    <w:tmpl w:val="EA44C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153883">
    <w:abstractNumId w:val="8"/>
  </w:num>
  <w:num w:numId="2" w16cid:durableId="2109696768">
    <w:abstractNumId w:val="6"/>
  </w:num>
  <w:num w:numId="3" w16cid:durableId="466357981">
    <w:abstractNumId w:val="5"/>
  </w:num>
  <w:num w:numId="4" w16cid:durableId="1313562118">
    <w:abstractNumId w:val="4"/>
  </w:num>
  <w:num w:numId="5" w16cid:durableId="211693686">
    <w:abstractNumId w:val="7"/>
  </w:num>
  <w:num w:numId="6" w16cid:durableId="1037121321">
    <w:abstractNumId w:val="3"/>
  </w:num>
  <w:num w:numId="7" w16cid:durableId="522019902">
    <w:abstractNumId w:val="2"/>
  </w:num>
  <w:num w:numId="8" w16cid:durableId="214783033">
    <w:abstractNumId w:val="1"/>
  </w:num>
  <w:num w:numId="9" w16cid:durableId="2021472413">
    <w:abstractNumId w:val="0"/>
  </w:num>
  <w:num w:numId="10" w16cid:durableId="2108766250">
    <w:abstractNumId w:val="18"/>
  </w:num>
  <w:num w:numId="11" w16cid:durableId="358822601">
    <w:abstractNumId w:val="9"/>
  </w:num>
  <w:num w:numId="12" w16cid:durableId="413817863">
    <w:abstractNumId w:val="13"/>
  </w:num>
  <w:num w:numId="13" w16cid:durableId="1327200107">
    <w:abstractNumId w:val="12"/>
  </w:num>
  <w:num w:numId="14" w16cid:durableId="581721520">
    <w:abstractNumId w:val="21"/>
  </w:num>
  <w:num w:numId="15" w16cid:durableId="1115750772">
    <w:abstractNumId w:val="20"/>
  </w:num>
  <w:num w:numId="16" w16cid:durableId="1123769410">
    <w:abstractNumId w:val="11"/>
  </w:num>
  <w:num w:numId="17" w16cid:durableId="1118990735">
    <w:abstractNumId w:val="17"/>
  </w:num>
  <w:num w:numId="18" w16cid:durableId="902182641">
    <w:abstractNumId w:val="19"/>
  </w:num>
  <w:num w:numId="19" w16cid:durableId="1118792394">
    <w:abstractNumId w:val="10"/>
  </w:num>
  <w:num w:numId="20" w16cid:durableId="696781946">
    <w:abstractNumId w:val="16"/>
  </w:num>
  <w:num w:numId="21" w16cid:durableId="18817641">
    <w:abstractNumId w:val="15"/>
  </w:num>
  <w:num w:numId="22" w16cid:durableId="2153557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458"/>
    <w:rsid w:val="000C72C2"/>
    <w:rsid w:val="0015074B"/>
    <w:rsid w:val="001F1138"/>
    <w:rsid w:val="0029639D"/>
    <w:rsid w:val="00314013"/>
    <w:rsid w:val="00326F90"/>
    <w:rsid w:val="00345ECA"/>
    <w:rsid w:val="003779BE"/>
    <w:rsid w:val="005B0857"/>
    <w:rsid w:val="007C01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4483F"/>
  <w14:defaultImageDpi w14:val="300"/>
  <w15:docId w15:val="{4DFF4EEE-25AE-4CE6-A08E-ABAC0A60E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013"/>
  </w:style>
  <w:style w:type="paragraph" w:styleId="Heading1">
    <w:name w:val="heading 1"/>
    <w:basedOn w:val="Normal"/>
    <w:next w:val="Normal"/>
    <w:link w:val="Heading1Char"/>
    <w:autoRedefine/>
    <w:uiPriority w:val="9"/>
    <w:qFormat/>
    <w:rsid w:val="00314013"/>
    <w:pPr>
      <w:keepNext/>
      <w:keepLines/>
      <w:spacing w:before="240" w:after="0"/>
      <w:outlineLvl w:val="0"/>
    </w:pPr>
    <w:rPr>
      <w:rFonts w:asciiTheme="majorHAnsi" w:eastAsiaTheme="majorEastAsia" w:hAnsiTheme="majorHAnsi" w:cstheme="majorBidi"/>
      <w:b/>
      <w:bCs/>
      <w:color w:val="B3186D" w:themeColor="accent1" w:themeShade="BF"/>
      <w:sz w:val="28"/>
      <w:szCs w:val="28"/>
    </w:rPr>
  </w:style>
  <w:style w:type="paragraph" w:styleId="Heading2">
    <w:name w:val="heading 2"/>
    <w:basedOn w:val="Normal"/>
    <w:next w:val="Normal"/>
    <w:link w:val="Heading2Char"/>
    <w:uiPriority w:val="9"/>
    <w:unhideWhenUsed/>
    <w:qFormat/>
    <w:rsid w:val="00314013"/>
    <w:pPr>
      <w:keepNext/>
      <w:keepLines/>
      <w:spacing w:before="200" w:after="0"/>
      <w:outlineLvl w:val="1"/>
    </w:pPr>
    <w:rPr>
      <w:rFonts w:asciiTheme="majorHAnsi" w:eastAsiaTheme="majorEastAsia" w:hAnsiTheme="majorHAnsi" w:cstheme="majorBidi"/>
      <w:b/>
      <w:bCs/>
      <w:color w:val="E32D91" w:themeColor="accent1"/>
      <w:sz w:val="26"/>
      <w:szCs w:val="26"/>
    </w:rPr>
  </w:style>
  <w:style w:type="paragraph" w:styleId="Heading3">
    <w:name w:val="heading 3"/>
    <w:basedOn w:val="Normal"/>
    <w:next w:val="Normal"/>
    <w:link w:val="Heading3Char"/>
    <w:uiPriority w:val="9"/>
    <w:unhideWhenUsed/>
    <w:qFormat/>
    <w:rsid w:val="00314013"/>
    <w:pPr>
      <w:keepNext/>
      <w:keepLines/>
      <w:spacing w:before="200" w:after="0"/>
      <w:outlineLvl w:val="2"/>
    </w:pPr>
    <w:rPr>
      <w:rFonts w:asciiTheme="majorHAnsi" w:eastAsiaTheme="majorEastAsia" w:hAnsiTheme="majorHAnsi" w:cstheme="majorBidi"/>
      <w:b/>
      <w:bCs/>
      <w:color w:val="E32D91" w:themeColor="accent1"/>
    </w:rPr>
  </w:style>
  <w:style w:type="paragraph" w:styleId="Heading4">
    <w:name w:val="heading 4"/>
    <w:basedOn w:val="Normal"/>
    <w:next w:val="Normal"/>
    <w:link w:val="Heading4Char"/>
    <w:uiPriority w:val="9"/>
    <w:semiHidden/>
    <w:unhideWhenUsed/>
    <w:qFormat/>
    <w:rsid w:val="00314013"/>
    <w:pPr>
      <w:keepNext/>
      <w:keepLines/>
      <w:spacing w:before="200" w:after="0"/>
      <w:outlineLvl w:val="3"/>
    </w:pPr>
    <w:rPr>
      <w:rFonts w:asciiTheme="majorHAnsi" w:eastAsiaTheme="majorEastAsia" w:hAnsiTheme="majorHAnsi" w:cstheme="majorBidi"/>
      <w:b/>
      <w:bCs/>
      <w:i/>
      <w:iCs/>
      <w:color w:val="E32D91" w:themeColor="accent1"/>
    </w:rPr>
  </w:style>
  <w:style w:type="paragraph" w:styleId="Heading5">
    <w:name w:val="heading 5"/>
    <w:basedOn w:val="Normal"/>
    <w:next w:val="Normal"/>
    <w:link w:val="Heading5Char"/>
    <w:uiPriority w:val="9"/>
    <w:semiHidden/>
    <w:unhideWhenUsed/>
    <w:qFormat/>
    <w:rsid w:val="00314013"/>
    <w:pPr>
      <w:keepNext/>
      <w:keepLines/>
      <w:spacing w:before="200" w:after="0"/>
      <w:outlineLvl w:val="4"/>
    </w:pPr>
    <w:rPr>
      <w:rFonts w:asciiTheme="majorHAnsi" w:eastAsiaTheme="majorEastAsia" w:hAnsiTheme="majorHAnsi" w:cstheme="majorBidi"/>
      <w:color w:val="771048" w:themeColor="accent1" w:themeShade="7F"/>
    </w:rPr>
  </w:style>
  <w:style w:type="paragraph" w:styleId="Heading6">
    <w:name w:val="heading 6"/>
    <w:basedOn w:val="Normal"/>
    <w:next w:val="Normal"/>
    <w:link w:val="Heading6Char"/>
    <w:uiPriority w:val="9"/>
    <w:semiHidden/>
    <w:unhideWhenUsed/>
    <w:qFormat/>
    <w:rsid w:val="00314013"/>
    <w:pPr>
      <w:keepNext/>
      <w:keepLines/>
      <w:spacing w:before="200" w:after="0"/>
      <w:outlineLvl w:val="5"/>
    </w:pPr>
    <w:rPr>
      <w:rFonts w:asciiTheme="majorHAnsi" w:eastAsiaTheme="majorEastAsia" w:hAnsiTheme="majorHAnsi" w:cstheme="majorBidi"/>
      <w:i/>
      <w:iCs/>
      <w:color w:val="771048" w:themeColor="accent1" w:themeShade="7F"/>
    </w:rPr>
  </w:style>
  <w:style w:type="paragraph" w:styleId="Heading7">
    <w:name w:val="heading 7"/>
    <w:basedOn w:val="Normal"/>
    <w:next w:val="Normal"/>
    <w:link w:val="Heading7Char"/>
    <w:uiPriority w:val="9"/>
    <w:semiHidden/>
    <w:unhideWhenUsed/>
    <w:qFormat/>
    <w:rsid w:val="0031401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14013"/>
    <w:pPr>
      <w:keepNext/>
      <w:keepLines/>
      <w:spacing w:before="200" w:after="0"/>
      <w:outlineLvl w:val="7"/>
    </w:pPr>
    <w:rPr>
      <w:rFonts w:asciiTheme="majorHAnsi" w:eastAsiaTheme="majorEastAsia" w:hAnsiTheme="majorHAnsi" w:cstheme="majorBidi"/>
      <w:color w:val="E32D91" w:themeColor="accent1"/>
      <w:sz w:val="20"/>
      <w:szCs w:val="20"/>
    </w:rPr>
  </w:style>
  <w:style w:type="paragraph" w:styleId="Heading9">
    <w:name w:val="heading 9"/>
    <w:basedOn w:val="Normal"/>
    <w:next w:val="Normal"/>
    <w:link w:val="Heading9Char"/>
    <w:uiPriority w:val="9"/>
    <w:semiHidden/>
    <w:unhideWhenUsed/>
    <w:qFormat/>
    <w:rsid w:val="0031401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14013"/>
    <w:pPr>
      <w:spacing w:after="0" w:line="240" w:lineRule="auto"/>
    </w:pPr>
  </w:style>
  <w:style w:type="character" w:customStyle="1" w:styleId="Heading1Char">
    <w:name w:val="Heading 1 Char"/>
    <w:basedOn w:val="DefaultParagraphFont"/>
    <w:link w:val="Heading1"/>
    <w:uiPriority w:val="9"/>
    <w:rsid w:val="00314013"/>
    <w:rPr>
      <w:rFonts w:asciiTheme="majorHAnsi" w:eastAsiaTheme="majorEastAsia" w:hAnsiTheme="majorHAnsi" w:cstheme="majorBidi"/>
      <w:b/>
      <w:bCs/>
      <w:color w:val="B3186D" w:themeColor="accent1" w:themeShade="BF"/>
      <w:sz w:val="28"/>
      <w:szCs w:val="28"/>
    </w:rPr>
  </w:style>
  <w:style w:type="character" w:customStyle="1" w:styleId="Heading2Char">
    <w:name w:val="Heading 2 Char"/>
    <w:basedOn w:val="DefaultParagraphFont"/>
    <w:link w:val="Heading2"/>
    <w:uiPriority w:val="9"/>
    <w:rsid w:val="00314013"/>
    <w:rPr>
      <w:rFonts w:asciiTheme="majorHAnsi" w:eastAsiaTheme="majorEastAsia" w:hAnsiTheme="majorHAnsi" w:cstheme="majorBidi"/>
      <w:b/>
      <w:bCs/>
      <w:color w:val="E32D91" w:themeColor="accent1"/>
      <w:sz w:val="26"/>
      <w:szCs w:val="26"/>
    </w:rPr>
  </w:style>
  <w:style w:type="character" w:customStyle="1" w:styleId="Heading3Char">
    <w:name w:val="Heading 3 Char"/>
    <w:basedOn w:val="DefaultParagraphFont"/>
    <w:link w:val="Heading3"/>
    <w:uiPriority w:val="9"/>
    <w:rsid w:val="00314013"/>
    <w:rPr>
      <w:rFonts w:asciiTheme="majorHAnsi" w:eastAsiaTheme="majorEastAsia" w:hAnsiTheme="majorHAnsi" w:cstheme="majorBidi"/>
      <w:b/>
      <w:bCs/>
      <w:color w:val="E32D91" w:themeColor="accent1"/>
    </w:rPr>
  </w:style>
  <w:style w:type="paragraph" w:styleId="Title">
    <w:name w:val="Title"/>
    <w:basedOn w:val="Normal"/>
    <w:next w:val="Normal"/>
    <w:link w:val="TitleChar"/>
    <w:uiPriority w:val="10"/>
    <w:qFormat/>
    <w:rsid w:val="00314013"/>
    <w:pPr>
      <w:pBdr>
        <w:bottom w:val="single" w:sz="8" w:space="4" w:color="E32D91" w:themeColor="accent1"/>
      </w:pBdr>
      <w:spacing w:after="300" w:line="240" w:lineRule="auto"/>
      <w:contextualSpacing/>
    </w:pPr>
    <w:rPr>
      <w:rFonts w:asciiTheme="majorHAnsi" w:eastAsiaTheme="majorEastAsia" w:hAnsiTheme="majorHAnsi" w:cstheme="majorBidi"/>
      <w:color w:val="33333C" w:themeColor="text2" w:themeShade="BF"/>
      <w:spacing w:val="5"/>
      <w:sz w:val="52"/>
      <w:szCs w:val="52"/>
    </w:rPr>
  </w:style>
  <w:style w:type="character" w:customStyle="1" w:styleId="TitleChar">
    <w:name w:val="Title Char"/>
    <w:basedOn w:val="DefaultParagraphFont"/>
    <w:link w:val="Title"/>
    <w:uiPriority w:val="10"/>
    <w:rsid w:val="00314013"/>
    <w:rPr>
      <w:rFonts w:asciiTheme="majorHAnsi" w:eastAsiaTheme="majorEastAsia" w:hAnsiTheme="majorHAnsi" w:cstheme="majorBidi"/>
      <w:color w:val="33333C" w:themeColor="text2" w:themeShade="BF"/>
      <w:spacing w:val="5"/>
      <w:sz w:val="52"/>
      <w:szCs w:val="52"/>
    </w:rPr>
  </w:style>
  <w:style w:type="paragraph" w:styleId="Subtitle">
    <w:name w:val="Subtitle"/>
    <w:basedOn w:val="Normal"/>
    <w:next w:val="Normal"/>
    <w:link w:val="SubtitleChar"/>
    <w:uiPriority w:val="11"/>
    <w:qFormat/>
    <w:rsid w:val="00314013"/>
    <w:pPr>
      <w:numPr>
        <w:ilvl w:val="1"/>
      </w:numPr>
    </w:pPr>
    <w:rPr>
      <w:rFonts w:asciiTheme="majorHAnsi" w:eastAsiaTheme="majorEastAsia" w:hAnsiTheme="majorHAnsi" w:cstheme="majorBidi"/>
      <w:i/>
      <w:iCs/>
      <w:color w:val="E32D91" w:themeColor="accent1"/>
      <w:spacing w:val="15"/>
      <w:sz w:val="24"/>
      <w:szCs w:val="24"/>
    </w:rPr>
  </w:style>
  <w:style w:type="character" w:customStyle="1" w:styleId="SubtitleChar">
    <w:name w:val="Subtitle Char"/>
    <w:basedOn w:val="DefaultParagraphFont"/>
    <w:link w:val="Subtitle"/>
    <w:uiPriority w:val="11"/>
    <w:rsid w:val="00314013"/>
    <w:rPr>
      <w:rFonts w:asciiTheme="majorHAnsi" w:eastAsiaTheme="majorEastAsia" w:hAnsiTheme="majorHAnsi" w:cstheme="majorBidi"/>
      <w:i/>
      <w:iCs/>
      <w:color w:val="E32D9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14013"/>
    <w:rPr>
      <w:i/>
      <w:iCs/>
      <w:color w:val="000000" w:themeColor="text1"/>
    </w:rPr>
  </w:style>
  <w:style w:type="character" w:customStyle="1" w:styleId="QuoteChar">
    <w:name w:val="Quote Char"/>
    <w:basedOn w:val="DefaultParagraphFont"/>
    <w:link w:val="Quote"/>
    <w:uiPriority w:val="29"/>
    <w:rsid w:val="00314013"/>
    <w:rPr>
      <w:i/>
      <w:iCs/>
      <w:color w:val="000000" w:themeColor="text1"/>
    </w:rPr>
  </w:style>
  <w:style w:type="character" w:customStyle="1" w:styleId="Heading4Char">
    <w:name w:val="Heading 4 Char"/>
    <w:basedOn w:val="DefaultParagraphFont"/>
    <w:link w:val="Heading4"/>
    <w:uiPriority w:val="9"/>
    <w:semiHidden/>
    <w:rsid w:val="00314013"/>
    <w:rPr>
      <w:rFonts w:asciiTheme="majorHAnsi" w:eastAsiaTheme="majorEastAsia" w:hAnsiTheme="majorHAnsi" w:cstheme="majorBidi"/>
      <w:b/>
      <w:bCs/>
      <w:i/>
      <w:iCs/>
      <w:color w:val="E32D91" w:themeColor="accent1"/>
    </w:rPr>
  </w:style>
  <w:style w:type="character" w:customStyle="1" w:styleId="Heading5Char">
    <w:name w:val="Heading 5 Char"/>
    <w:basedOn w:val="DefaultParagraphFont"/>
    <w:link w:val="Heading5"/>
    <w:uiPriority w:val="9"/>
    <w:semiHidden/>
    <w:rsid w:val="00314013"/>
    <w:rPr>
      <w:rFonts w:asciiTheme="majorHAnsi" w:eastAsiaTheme="majorEastAsia" w:hAnsiTheme="majorHAnsi" w:cstheme="majorBidi"/>
      <w:color w:val="771048" w:themeColor="accent1" w:themeShade="7F"/>
    </w:rPr>
  </w:style>
  <w:style w:type="character" w:customStyle="1" w:styleId="Heading6Char">
    <w:name w:val="Heading 6 Char"/>
    <w:basedOn w:val="DefaultParagraphFont"/>
    <w:link w:val="Heading6"/>
    <w:uiPriority w:val="9"/>
    <w:semiHidden/>
    <w:rsid w:val="00314013"/>
    <w:rPr>
      <w:rFonts w:asciiTheme="majorHAnsi" w:eastAsiaTheme="majorEastAsia" w:hAnsiTheme="majorHAnsi" w:cstheme="majorBidi"/>
      <w:i/>
      <w:iCs/>
      <w:color w:val="771048" w:themeColor="accent1" w:themeShade="7F"/>
    </w:rPr>
  </w:style>
  <w:style w:type="character" w:customStyle="1" w:styleId="Heading7Char">
    <w:name w:val="Heading 7 Char"/>
    <w:basedOn w:val="DefaultParagraphFont"/>
    <w:link w:val="Heading7"/>
    <w:uiPriority w:val="9"/>
    <w:semiHidden/>
    <w:rsid w:val="0031401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14013"/>
    <w:rPr>
      <w:rFonts w:asciiTheme="majorHAnsi" w:eastAsiaTheme="majorEastAsia" w:hAnsiTheme="majorHAnsi" w:cstheme="majorBidi"/>
      <w:color w:val="E32D91" w:themeColor="accent1"/>
      <w:sz w:val="20"/>
      <w:szCs w:val="20"/>
    </w:rPr>
  </w:style>
  <w:style w:type="character" w:customStyle="1" w:styleId="Heading9Char">
    <w:name w:val="Heading 9 Char"/>
    <w:basedOn w:val="DefaultParagraphFont"/>
    <w:link w:val="Heading9"/>
    <w:uiPriority w:val="9"/>
    <w:semiHidden/>
    <w:rsid w:val="003140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14013"/>
    <w:pPr>
      <w:spacing w:line="240" w:lineRule="auto"/>
    </w:pPr>
    <w:rPr>
      <w:b/>
      <w:bCs/>
      <w:color w:val="E32D91" w:themeColor="accent1"/>
      <w:sz w:val="18"/>
      <w:szCs w:val="18"/>
    </w:rPr>
  </w:style>
  <w:style w:type="character" w:styleId="Strong">
    <w:name w:val="Strong"/>
    <w:basedOn w:val="DefaultParagraphFont"/>
    <w:uiPriority w:val="22"/>
    <w:qFormat/>
    <w:rsid w:val="00314013"/>
    <w:rPr>
      <w:b/>
      <w:bCs/>
    </w:rPr>
  </w:style>
  <w:style w:type="character" w:styleId="Emphasis">
    <w:name w:val="Emphasis"/>
    <w:basedOn w:val="DefaultParagraphFont"/>
    <w:uiPriority w:val="20"/>
    <w:qFormat/>
    <w:rsid w:val="00314013"/>
    <w:rPr>
      <w:i/>
      <w:iCs/>
    </w:rPr>
  </w:style>
  <w:style w:type="paragraph" w:styleId="IntenseQuote">
    <w:name w:val="Intense Quote"/>
    <w:basedOn w:val="Normal"/>
    <w:next w:val="Normal"/>
    <w:link w:val="IntenseQuoteChar"/>
    <w:uiPriority w:val="30"/>
    <w:qFormat/>
    <w:rsid w:val="00314013"/>
    <w:pPr>
      <w:pBdr>
        <w:bottom w:val="single" w:sz="4" w:space="4" w:color="E32D91" w:themeColor="accent1"/>
      </w:pBdr>
      <w:spacing w:before="200" w:after="280"/>
      <w:ind w:left="936" w:right="936"/>
    </w:pPr>
    <w:rPr>
      <w:b/>
      <w:bCs/>
      <w:i/>
      <w:iCs/>
      <w:color w:val="E32D91" w:themeColor="accent1"/>
    </w:rPr>
  </w:style>
  <w:style w:type="character" w:customStyle="1" w:styleId="IntenseQuoteChar">
    <w:name w:val="Intense Quote Char"/>
    <w:basedOn w:val="DefaultParagraphFont"/>
    <w:link w:val="IntenseQuote"/>
    <w:uiPriority w:val="30"/>
    <w:rsid w:val="00314013"/>
    <w:rPr>
      <w:b/>
      <w:bCs/>
      <w:i/>
      <w:iCs/>
      <w:color w:val="E32D91" w:themeColor="accent1"/>
    </w:rPr>
  </w:style>
  <w:style w:type="character" w:styleId="SubtleEmphasis">
    <w:name w:val="Subtle Emphasis"/>
    <w:basedOn w:val="DefaultParagraphFont"/>
    <w:uiPriority w:val="19"/>
    <w:qFormat/>
    <w:rsid w:val="00314013"/>
    <w:rPr>
      <w:i/>
      <w:iCs/>
      <w:color w:val="808080" w:themeColor="text1" w:themeTint="7F"/>
    </w:rPr>
  </w:style>
  <w:style w:type="character" w:styleId="IntenseEmphasis">
    <w:name w:val="Intense Emphasis"/>
    <w:basedOn w:val="DefaultParagraphFont"/>
    <w:uiPriority w:val="21"/>
    <w:qFormat/>
    <w:rsid w:val="00314013"/>
    <w:rPr>
      <w:b/>
      <w:bCs/>
      <w:i/>
      <w:iCs/>
      <w:color w:val="E32D91" w:themeColor="accent1"/>
    </w:rPr>
  </w:style>
  <w:style w:type="character" w:styleId="SubtleReference">
    <w:name w:val="Subtle Reference"/>
    <w:basedOn w:val="DefaultParagraphFont"/>
    <w:uiPriority w:val="31"/>
    <w:qFormat/>
    <w:rsid w:val="00314013"/>
    <w:rPr>
      <w:smallCaps/>
      <w:color w:val="C830CC" w:themeColor="accent2"/>
      <w:u w:val="single"/>
    </w:rPr>
  </w:style>
  <w:style w:type="character" w:styleId="IntenseReference">
    <w:name w:val="Intense Reference"/>
    <w:basedOn w:val="DefaultParagraphFont"/>
    <w:uiPriority w:val="32"/>
    <w:qFormat/>
    <w:rsid w:val="00314013"/>
    <w:rPr>
      <w:b/>
      <w:bCs/>
      <w:smallCaps/>
      <w:color w:val="C830CC" w:themeColor="accent2"/>
      <w:spacing w:val="5"/>
      <w:u w:val="single"/>
    </w:rPr>
  </w:style>
  <w:style w:type="character" w:styleId="BookTitle">
    <w:name w:val="Book Title"/>
    <w:basedOn w:val="DefaultParagraphFont"/>
    <w:uiPriority w:val="33"/>
    <w:qFormat/>
    <w:rsid w:val="00314013"/>
    <w:rPr>
      <w:b/>
      <w:bCs/>
      <w:smallCaps/>
      <w:spacing w:val="5"/>
    </w:rPr>
  </w:style>
  <w:style w:type="paragraph" w:styleId="TOCHeading">
    <w:name w:val="TOC Heading"/>
    <w:basedOn w:val="Heading1"/>
    <w:next w:val="Normal"/>
    <w:uiPriority w:val="39"/>
    <w:semiHidden/>
    <w:unhideWhenUsed/>
    <w:qFormat/>
    <w:rsid w:val="0031401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3186D" w:themeColor="accent1" w:themeShade="BF"/>
    </w:rPr>
    <w:tblPr>
      <w:tblStyleRowBandSize w:val="1"/>
      <w:tblStyleColBandSize w:val="1"/>
      <w:tblBorders>
        <w:top w:val="single" w:sz="8" w:space="0" w:color="E32D91" w:themeColor="accent1"/>
        <w:bottom w:val="single" w:sz="8" w:space="0" w:color="E32D91" w:themeColor="accent1"/>
      </w:tblBorders>
    </w:tblPr>
    <w:tblStylePr w:type="firstRow">
      <w:pPr>
        <w:spacing w:before="0" w:after="0" w:line="240" w:lineRule="auto"/>
      </w:pPr>
      <w:rPr>
        <w:b/>
        <w:bCs/>
      </w:rPr>
      <w:tblPr/>
      <w:tcPr>
        <w:tcBorders>
          <w:top w:val="single" w:sz="8" w:space="0" w:color="E32D91" w:themeColor="accent1"/>
          <w:left w:val="nil"/>
          <w:bottom w:val="single" w:sz="8" w:space="0" w:color="E32D91" w:themeColor="accent1"/>
          <w:right w:val="nil"/>
          <w:insideH w:val="nil"/>
          <w:insideV w:val="nil"/>
        </w:tcBorders>
      </w:tcPr>
    </w:tblStylePr>
    <w:tblStylePr w:type="lastRow">
      <w:pPr>
        <w:spacing w:before="0" w:after="0" w:line="240" w:lineRule="auto"/>
      </w:pPr>
      <w:rPr>
        <w:b/>
        <w:bCs/>
      </w:rPr>
      <w:tblPr/>
      <w:tcPr>
        <w:tcBorders>
          <w:top w:val="single" w:sz="8" w:space="0" w:color="E32D91" w:themeColor="accent1"/>
          <w:left w:val="nil"/>
          <w:bottom w:val="single" w:sz="8" w:space="0" w:color="E32D9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AE3" w:themeFill="accent1" w:themeFillTint="3F"/>
      </w:tcPr>
    </w:tblStylePr>
    <w:tblStylePr w:type="band1Horz">
      <w:tblPr/>
      <w:tcPr>
        <w:tcBorders>
          <w:left w:val="nil"/>
          <w:right w:val="nil"/>
          <w:insideH w:val="nil"/>
          <w:insideV w:val="nil"/>
        </w:tcBorders>
        <w:shd w:val="clear" w:color="auto" w:fill="F8CAE3" w:themeFill="accent1" w:themeFillTint="3F"/>
      </w:tcPr>
    </w:tblStylePr>
  </w:style>
  <w:style w:type="table" w:styleId="LightShading-Accent2">
    <w:name w:val="Light Shading Accent 2"/>
    <w:basedOn w:val="TableNormal"/>
    <w:uiPriority w:val="60"/>
    <w:rsid w:val="00FC693F"/>
    <w:pPr>
      <w:spacing w:after="0" w:line="240" w:lineRule="auto"/>
    </w:pPr>
    <w:rPr>
      <w:color w:val="952498" w:themeColor="accent2" w:themeShade="BF"/>
    </w:rPr>
    <w:tblPr>
      <w:tblStyleRowBandSize w:val="1"/>
      <w:tblStyleColBandSize w:val="1"/>
      <w:tblBorders>
        <w:top w:val="single" w:sz="8" w:space="0" w:color="C830CC" w:themeColor="accent2"/>
        <w:bottom w:val="single" w:sz="8" w:space="0" w:color="C830CC" w:themeColor="accent2"/>
      </w:tblBorders>
    </w:tblPr>
    <w:tblStylePr w:type="firstRow">
      <w:pPr>
        <w:spacing w:before="0" w:after="0" w:line="240" w:lineRule="auto"/>
      </w:pPr>
      <w:rPr>
        <w:b/>
        <w:bCs/>
      </w:rPr>
      <w:tblPr/>
      <w:tcPr>
        <w:tcBorders>
          <w:top w:val="single" w:sz="8" w:space="0" w:color="C830CC" w:themeColor="accent2"/>
          <w:left w:val="nil"/>
          <w:bottom w:val="single" w:sz="8" w:space="0" w:color="C830CC" w:themeColor="accent2"/>
          <w:right w:val="nil"/>
          <w:insideH w:val="nil"/>
          <w:insideV w:val="nil"/>
        </w:tcBorders>
      </w:tcPr>
    </w:tblStylePr>
    <w:tblStylePr w:type="lastRow">
      <w:pPr>
        <w:spacing w:before="0" w:after="0" w:line="240" w:lineRule="auto"/>
      </w:pPr>
      <w:rPr>
        <w:b/>
        <w:bCs/>
      </w:rPr>
      <w:tblPr/>
      <w:tcPr>
        <w:tcBorders>
          <w:top w:val="single" w:sz="8" w:space="0" w:color="C830CC" w:themeColor="accent2"/>
          <w:left w:val="nil"/>
          <w:bottom w:val="single" w:sz="8" w:space="0" w:color="C830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CBF2" w:themeFill="accent2" w:themeFillTint="3F"/>
      </w:tcPr>
    </w:tblStylePr>
    <w:tblStylePr w:type="band1Horz">
      <w:tblPr/>
      <w:tcPr>
        <w:tcBorders>
          <w:left w:val="nil"/>
          <w:right w:val="nil"/>
          <w:insideH w:val="nil"/>
          <w:insideV w:val="nil"/>
        </w:tcBorders>
        <w:shd w:val="clear" w:color="auto" w:fill="F1CBF2" w:themeFill="accent2" w:themeFillTint="3F"/>
      </w:tcPr>
    </w:tblStylePr>
  </w:style>
  <w:style w:type="table" w:styleId="LightShading-Accent3">
    <w:name w:val="Light Shading Accent 3"/>
    <w:basedOn w:val="TableNormal"/>
    <w:uiPriority w:val="60"/>
    <w:rsid w:val="00FC693F"/>
    <w:pPr>
      <w:spacing w:after="0" w:line="240" w:lineRule="auto"/>
    </w:pPr>
    <w:rPr>
      <w:color w:val="2581BA" w:themeColor="accent3" w:themeShade="BF"/>
    </w:rPr>
    <w:tblPr>
      <w:tblStyleRowBandSize w:val="1"/>
      <w:tblStyleColBandSize w:val="1"/>
      <w:tblBorders>
        <w:top w:val="single" w:sz="8" w:space="0" w:color="4EA6DC" w:themeColor="accent3"/>
        <w:bottom w:val="single" w:sz="8" w:space="0" w:color="4EA6DC" w:themeColor="accent3"/>
      </w:tblBorders>
    </w:tblPr>
    <w:tblStylePr w:type="firstRow">
      <w:pPr>
        <w:spacing w:before="0" w:after="0" w:line="240" w:lineRule="auto"/>
      </w:pPr>
      <w:rPr>
        <w:b/>
        <w:bCs/>
      </w:rPr>
      <w:tblPr/>
      <w:tcPr>
        <w:tcBorders>
          <w:top w:val="single" w:sz="8" w:space="0" w:color="4EA6DC" w:themeColor="accent3"/>
          <w:left w:val="nil"/>
          <w:bottom w:val="single" w:sz="8" w:space="0" w:color="4EA6DC" w:themeColor="accent3"/>
          <w:right w:val="nil"/>
          <w:insideH w:val="nil"/>
          <w:insideV w:val="nil"/>
        </w:tcBorders>
      </w:tcPr>
    </w:tblStylePr>
    <w:tblStylePr w:type="lastRow">
      <w:pPr>
        <w:spacing w:before="0" w:after="0" w:line="240" w:lineRule="auto"/>
      </w:pPr>
      <w:rPr>
        <w:b/>
        <w:bCs/>
      </w:rPr>
      <w:tblPr/>
      <w:tcPr>
        <w:tcBorders>
          <w:top w:val="single" w:sz="8" w:space="0" w:color="4EA6DC" w:themeColor="accent3"/>
          <w:left w:val="nil"/>
          <w:bottom w:val="single" w:sz="8" w:space="0" w:color="4EA6D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8F6" w:themeFill="accent3" w:themeFillTint="3F"/>
      </w:tcPr>
    </w:tblStylePr>
    <w:tblStylePr w:type="band1Horz">
      <w:tblPr/>
      <w:tcPr>
        <w:tcBorders>
          <w:left w:val="nil"/>
          <w:right w:val="nil"/>
          <w:insideH w:val="nil"/>
          <w:insideV w:val="nil"/>
        </w:tcBorders>
        <w:shd w:val="clear" w:color="auto" w:fill="D3E8F6" w:themeFill="accent3" w:themeFillTint="3F"/>
      </w:tcPr>
    </w:tblStylePr>
  </w:style>
  <w:style w:type="table" w:styleId="LightShading-Accent4">
    <w:name w:val="Light Shading Accent 4"/>
    <w:basedOn w:val="TableNormal"/>
    <w:uiPriority w:val="60"/>
    <w:rsid w:val="00FC693F"/>
    <w:pPr>
      <w:spacing w:after="0" w:line="240" w:lineRule="auto"/>
    </w:pPr>
    <w:rPr>
      <w:color w:val="1A4BC7" w:themeColor="accent4" w:themeShade="BF"/>
    </w:rPr>
    <w:tblPr>
      <w:tblStyleRowBandSize w:val="1"/>
      <w:tblStyleColBandSize w:val="1"/>
      <w:tblBorders>
        <w:top w:val="single" w:sz="8" w:space="0" w:color="4775E7" w:themeColor="accent4"/>
        <w:bottom w:val="single" w:sz="8" w:space="0" w:color="4775E7" w:themeColor="accent4"/>
      </w:tblBorders>
    </w:tblPr>
    <w:tblStylePr w:type="firstRow">
      <w:pPr>
        <w:spacing w:before="0" w:after="0" w:line="240" w:lineRule="auto"/>
      </w:pPr>
      <w:rPr>
        <w:b/>
        <w:bCs/>
      </w:rPr>
      <w:tblPr/>
      <w:tcPr>
        <w:tcBorders>
          <w:top w:val="single" w:sz="8" w:space="0" w:color="4775E7" w:themeColor="accent4"/>
          <w:left w:val="nil"/>
          <w:bottom w:val="single" w:sz="8" w:space="0" w:color="4775E7" w:themeColor="accent4"/>
          <w:right w:val="nil"/>
          <w:insideH w:val="nil"/>
          <w:insideV w:val="nil"/>
        </w:tcBorders>
      </w:tcPr>
    </w:tblStylePr>
    <w:tblStylePr w:type="lastRow">
      <w:pPr>
        <w:spacing w:before="0" w:after="0" w:line="240" w:lineRule="auto"/>
      </w:pPr>
      <w:rPr>
        <w:b/>
        <w:bCs/>
      </w:rPr>
      <w:tblPr/>
      <w:tcPr>
        <w:tcBorders>
          <w:top w:val="single" w:sz="8" w:space="0" w:color="4775E7" w:themeColor="accent4"/>
          <w:left w:val="nil"/>
          <w:bottom w:val="single" w:sz="8" w:space="0" w:color="4775E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9" w:themeFill="accent4" w:themeFillTint="3F"/>
      </w:tcPr>
    </w:tblStylePr>
    <w:tblStylePr w:type="band1Horz">
      <w:tblPr/>
      <w:tcPr>
        <w:tcBorders>
          <w:left w:val="nil"/>
          <w:right w:val="nil"/>
          <w:insideH w:val="nil"/>
          <w:insideV w:val="nil"/>
        </w:tcBorders>
        <w:shd w:val="clear" w:color="auto" w:fill="D1DCF9" w:themeFill="accent4" w:themeFillTint="3F"/>
      </w:tcPr>
    </w:tblStylePr>
  </w:style>
  <w:style w:type="table" w:styleId="LightShading-Accent5">
    <w:name w:val="Light Shading Accent 5"/>
    <w:basedOn w:val="TableNormal"/>
    <w:uiPriority w:val="60"/>
    <w:rsid w:val="00FC693F"/>
    <w:pPr>
      <w:spacing w:after="0" w:line="240" w:lineRule="auto"/>
    </w:pPr>
    <w:rPr>
      <w:color w:val="4F2CD0" w:themeColor="accent5" w:themeShade="BF"/>
    </w:rPr>
    <w:tblPr>
      <w:tblStyleRowBandSize w:val="1"/>
      <w:tblStyleColBandSize w:val="1"/>
      <w:tblBorders>
        <w:top w:val="single" w:sz="8" w:space="0" w:color="8971E1" w:themeColor="accent5"/>
        <w:bottom w:val="single" w:sz="8" w:space="0" w:color="8971E1" w:themeColor="accent5"/>
      </w:tblBorders>
    </w:tblPr>
    <w:tblStylePr w:type="firstRow">
      <w:pPr>
        <w:spacing w:before="0" w:after="0" w:line="240" w:lineRule="auto"/>
      </w:pPr>
      <w:rPr>
        <w:b/>
        <w:bCs/>
      </w:rPr>
      <w:tblPr/>
      <w:tcPr>
        <w:tcBorders>
          <w:top w:val="single" w:sz="8" w:space="0" w:color="8971E1" w:themeColor="accent5"/>
          <w:left w:val="nil"/>
          <w:bottom w:val="single" w:sz="8" w:space="0" w:color="8971E1" w:themeColor="accent5"/>
          <w:right w:val="nil"/>
          <w:insideH w:val="nil"/>
          <w:insideV w:val="nil"/>
        </w:tcBorders>
      </w:tcPr>
    </w:tblStylePr>
    <w:tblStylePr w:type="lastRow">
      <w:pPr>
        <w:spacing w:before="0" w:after="0" w:line="240" w:lineRule="auto"/>
      </w:pPr>
      <w:rPr>
        <w:b/>
        <w:bCs/>
      </w:rPr>
      <w:tblPr/>
      <w:tcPr>
        <w:tcBorders>
          <w:top w:val="single" w:sz="8" w:space="0" w:color="8971E1" w:themeColor="accent5"/>
          <w:left w:val="nil"/>
          <w:bottom w:val="single" w:sz="8" w:space="0" w:color="8971E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DBF7" w:themeFill="accent5" w:themeFillTint="3F"/>
      </w:tcPr>
    </w:tblStylePr>
    <w:tblStylePr w:type="band1Horz">
      <w:tblPr/>
      <w:tcPr>
        <w:tcBorders>
          <w:left w:val="nil"/>
          <w:right w:val="nil"/>
          <w:insideH w:val="nil"/>
          <w:insideV w:val="nil"/>
        </w:tcBorders>
        <w:shd w:val="clear" w:color="auto" w:fill="E1DBF7" w:themeFill="accent5" w:themeFillTint="3F"/>
      </w:tcPr>
    </w:tblStylePr>
  </w:style>
  <w:style w:type="table" w:styleId="LightShading-Accent6">
    <w:name w:val="Light Shading Accent 6"/>
    <w:basedOn w:val="TableNormal"/>
    <w:uiPriority w:val="60"/>
    <w:rsid w:val="00FC693F"/>
    <w:pPr>
      <w:spacing w:after="0" w:line="240" w:lineRule="auto"/>
    </w:pPr>
    <w:rPr>
      <w:color w:val="AD2750" w:themeColor="accent6" w:themeShade="BF"/>
    </w:rPr>
    <w:tblPr>
      <w:tblStyleRowBandSize w:val="1"/>
      <w:tblStyleColBandSize w:val="1"/>
      <w:tblBorders>
        <w:top w:val="single" w:sz="8" w:space="0" w:color="D54773" w:themeColor="accent6"/>
        <w:bottom w:val="single" w:sz="8" w:space="0" w:color="D54773" w:themeColor="accent6"/>
      </w:tblBorders>
    </w:tblPr>
    <w:tblStylePr w:type="fir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la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left w:val="nil"/>
          <w:right w:val="nil"/>
          <w:insideH w:val="nil"/>
          <w:insideV w:val="nil"/>
        </w:tcBorders>
        <w:shd w:val="clear" w:color="auto" w:fill="F4D1DC"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tblBorders>
    </w:tblPr>
    <w:tblStylePr w:type="firstRow">
      <w:pPr>
        <w:spacing w:before="0" w:after="0" w:line="240" w:lineRule="auto"/>
      </w:pPr>
      <w:rPr>
        <w:b/>
        <w:bCs/>
        <w:color w:val="FFFFFF" w:themeColor="background1"/>
      </w:rPr>
      <w:tblPr/>
      <w:tcPr>
        <w:shd w:val="clear" w:color="auto" w:fill="E32D91" w:themeFill="accent1"/>
      </w:tcPr>
    </w:tblStylePr>
    <w:tblStylePr w:type="lastRow">
      <w:pPr>
        <w:spacing w:before="0" w:after="0" w:line="240" w:lineRule="auto"/>
      </w:pPr>
      <w:rPr>
        <w:b/>
        <w:bCs/>
      </w:rPr>
      <w:tblPr/>
      <w:tcPr>
        <w:tcBorders>
          <w:top w:val="double" w:sz="6" w:space="0" w:color="E32D91" w:themeColor="accent1"/>
          <w:left w:val="single" w:sz="8" w:space="0" w:color="E32D91" w:themeColor="accent1"/>
          <w:bottom w:val="single" w:sz="8" w:space="0" w:color="E32D91" w:themeColor="accent1"/>
          <w:right w:val="single" w:sz="8" w:space="0" w:color="E32D91" w:themeColor="accent1"/>
        </w:tcBorders>
      </w:tcPr>
    </w:tblStylePr>
    <w:tblStylePr w:type="firstCol">
      <w:rPr>
        <w:b/>
        <w:bCs/>
      </w:rPr>
    </w:tblStylePr>
    <w:tblStylePr w:type="lastCol">
      <w:rPr>
        <w:b/>
        <w:bCs/>
      </w:rPr>
    </w:tblStylePr>
    <w:tblStylePr w:type="band1Vert">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tblStylePr w:type="band1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tblBorders>
    </w:tblPr>
    <w:tblStylePr w:type="firstRow">
      <w:pPr>
        <w:spacing w:before="0" w:after="0" w:line="240" w:lineRule="auto"/>
      </w:pPr>
      <w:rPr>
        <w:b/>
        <w:bCs/>
        <w:color w:val="FFFFFF" w:themeColor="background1"/>
      </w:rPr>
      <w:tblPr/>
      <w:tcPr>
        <w:shd w:val="clear" w:color="auto" w:fill="C830CC" w:themeFill="accent2"/>
      </w:tcPr>
    </w:tblStylePr>
    <w:tblStylePr w:type="lastRow">
      <w:pPr>
        <w:spacing w:before="0" w:after="0" w:line="240" w:lineRule="auto"/>
      </w:pPr>
      <w:rPr>
        <w:b/>
        <w:bCs/>
      </w:rPr>
      <w:tblPr/>
      <w:tcPr>
        <w:tcBorders>
          <w:top w:val="double" w:sz="6" w:space="0" w:color="C830CC" w:themeColor="accent2"/>
          <w:left w:val="single" w:sz="8" w:space="0" w:color="C830CC" w:themeColor="accent2"/>
          <w:bottom w:val="single" w:sz="8" w:space="0" w:color="C830CC" w:themeColor="accent2"/>
          <w:right w:val="single" w:sz="8" w:space="0" w:color="C830CC" w:themeColor="accent2"/>
        </w:tcBorders>
      </w:tcPr>
    </w:tblStylePr>
    <w:tblStylePr w:type="firstCol">
      <w:rPr>
        <w:b/>
        <w:bCs/>
      </w:rPr>
    </w:tblStylePr>
    <w:tblStylePr w:type="lastCol">
      <w:rPr>
        <w:b/>
        <w:bCs/>
      </w:rPr>
    </w:tblStylePr>
    <w:tblStylePr w:type="band1Vert">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tcPr>
    </w:tblStylePr>
    <w:tblStylePr w:type="band1Horz">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tblBorders>
    </w:tblPr>
    <w:tblStylePr w:type="firstRow">
      <w:pPr>
        <w:spacing w:before="0" w:after="0" w:line="240" w:lineRule="auto"/>
      </w:pPr>
      <w:rPr>
        <w:b/>
        <w:bCs/>
        <w:color w:val="FFFFFF" w:themeColor="background1"/>
      </w:rPr>
      <w:tblPr/>
      <w:tcPr>
        <w:shd w:val="clear" w:color="auto" w:fill="4EA6DC" w:themeFill="accent3"/>
      </w:tcPr>
    </w:tblStylePr>
    <w:tblStylePr w:type="lastRow">
      <w:pPr>
        <w:spacing w:before="0" w:after="0" w:line="240" w:lineRule="auto"/>
      </w:pPr>
      <w:rPr>
        <w:b/>
        <w:bCs/>
      </w:rPr>
      <w:tblPr/>
      <w:tcPr>
        <w:tcBorders>
          <w:top w:val="double" w:sz="6" w:space="0" w:color="4EA6DC" w:themeColor="accent3"/>
          <w:left w:val="single" w:sz="8" w:space="0" w:color="4EA6DC" w:themeColor="accent3"/>
          <w:bottom w:val="single" w:sz="8" w:space="0" w:color="4EA6DC" w:themeColor="accent3"/>
          <w:right w:val="single" w:sz="8" w:space="0" w:color="4EA6DC" w:themeColor="accent3"/>
        </w:tcBorders>
      </w:tcPr>
    </w:tblStylePr>
    <w:tblStylePr w:type="firstCol">
      <w:rPr>
        <w:b/>
        <w:bCs/>
      </w:rPr>
    </w:tblStylePr>
    <w:tblStylePr w:type="lastCol">
      <w:rPr>
        <w:b/>
        <w:bCs/>
      </w:rPr>
    </w:tblStylePr>
    <w:tblStylePr w:type="band1Vert">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tcPr>
    </w:tblStylePr>
    <w:tblStylePr w:type="band1Horz">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tblBorders>
    </w:tblPr>
    <w:tblStylePr w:type="firstRow">
      <w:pPr>
        <w:spacing w:before="0" w:after="0" w:line="240" w:lineRule="auto"/>
      </w:pPr>
      <w:rPr>
        <w:b/>
        <w:bCs/>
        <w:color w:val="FFFFFF" w:themeColor="background1"/>
      </w:rPr>
      <w:tblPr/>
      <w:tcPr>
        <w:shd w:val="clear" w:color="auto" w:fill="4775E7" w:themeFill="accent4"/>
      </w:tcPr>
    </w:tblStylePr>
    <w:tblStylePr w:type="lastRow">
      <w:pPr>
        <w:spacing w:before="0" w:after="0" w:line="240" w:lineRule="auto"/>
      </w:pPr>
      <w:rPr>
        <w:b/>
        <w:bCs/>
      </w:rPr>
      <w:tblPr/>
      <w:tcPr>
        <w:tcBorders>
          <w:top w:val="double" w:sz="6" w:space="0" w:color="4775E7" w:themeColor="accent4"/>
          <w:left w:val="single" w:sz="8" w:space="0" w:color="4775E7" w:themeColor="accent4"/>
          <w:bottom w:val="single" w:sz="8" w:space="0" w:color="4775E7" w:themeColor="accent4"/>
          <w:right w:val="single" w:sz="8" w:space="0" w:color="4775E7" w:themeColor="accent4"/>
        </w:tcBorders>
      </w:tcPr>
    </w:tblStylePr>
    <w:tblStylePr w:type="firstCol">
      <w:rPr>
        <w:b/>
        <w:bCs/>
      </w:rPr>
    </w:tblStylePr>
    <w:tblStylePr w:type="lastCol">
      <w:rPr>
        <w:b/>
        <w:bCs/>
      </w:rPr>
    </w:tblStylePr>
    <w:tblStylePr w:type="band1Vert">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tcPr>
    </w:tblStylePr>
    <w:tblStylePr w:type="band1Horz">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tblBorders>
    </w:tblPr>
    <w:tblStylePr w:type="firstRow">
      <w:pPr>
        <w:spacing w:before="0" w:after="0" w:line="240" w:lineRule="auto"/>
      </w:pPr>
      <w:rPr>
        <w:b/>
        <w:bCs/>
        <w:color w:val="FFFFFF" w:themeColor="background1"/>
      </w:rPr>
      <w:tblPr/>
      <w:tcPr>
        <w:shd w:val="clear" w:color="auto" w:fill="8971E1" w:themeFill="accent5"/>
      </w:tcPr>
    </w:tblStylePr>
    <w:tblStylePr w:type="lastRow">
      <w:pPr>
        <w:spacing w:before="0" w:after="0" w:line="240" w:lineRule="auto"/>
      </w:pPr>
      <w:rPr>
        <w:b/>
        <w:bCs/>
      </w:rPr>
      <w:tblPr/>
      <w:tcPr>
        <w:tcBorders>
          <w:top w:val="double" w:sz="6" w:space="0" w:color="8971E1" w:themeColor="accent5"/>
          <w:left w:val="single" w:sz="8" w:space="0" w:color="8971E1" w:themeColor="accent5"/>
          <w:bottom w:val="single" w:sz="8" w:space="0" w:color="8971E1" w:themeColor="accent5"/>
          <w:right w:val="single" w:sz="8" w:space="0" w:color="8971E1" w:themeColor="accent5"/>
        </w:tcBorders>
      </w:tcPr>
    </w:tblStylePr>
    <w:tblStylePr w:type="firstCol">
      <w:rPr>
        <w:b/>
        <w:bCs/>
      </w:rPr>
    </w:tblStylePr>
    <w:tblStylePr w:type="lastCol">
      <w:rPr>
        <w:b/>
        <w:bCs/>
      </w:rPr>
    </w:tblStylePr>
    <w:tblStylePr w:type="band1Vert">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tblStylePr w:type="band1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pPr>
        <w:spacing w:before="0" w:after="0" w:line="240" w:lineRule="auto"/>
      </w:pPr>
      <w:rPr>
        <w:b/>
        <w:bCs/>
        <w:color w:val="FFFFFF" w:themeColor="background1"/>
      </w:rPr>
      <w:tblPr/>
      <w:tcPr>
        <w:shd w:val="clear" w:color="auto" w:fill="D54773" w:themeFill="accent6"/>
      </w:tcPr>
    </w:tblStylePr>
    <w:tblStylePr w:type="lastRow">
      <w:pPr>
        <w:spacing w:before="0" w:after="0" w:line="240" w:lineRule="auto"/>
      </w:pPr>
      <w:rPr>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tcBorders>
      </w:tcPr>
    </w:tblStylePr>
    <w:tblStylePr w:type="firstCol">
      <w:rPr>
        <w:b/>
        <w:bCs/>
      </w:rPr>
    </w:tblStylePr>
    <w:tblStylePr w:type="lastCol">
      <w:rPr>
        <w:b/>
        <w:bCs/>
      </w:r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insideH w:val="single" w:sz="8" w:space="0" w:color="E32D91" w:themeColor="accent1"/>
        <w:insideV w:val="single" w:sz="8" w:space="0" w:color="E32D9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2D91" w:themeColor="accent1"/>
          <w:left w:val="single" w:sz="8" w:space="0" w:color="E32D91" w:themeColor="accent1"/>
          <w:bottom w:val="single" w:sz="18" w:space="0" w:color="E32D91" w:themeColor="accent1"/>
          <w:right w:val="single" w:sz="8" w:space="0" w:color="E32D91" w:themeColor="accent1"/>
          <w:insideH w:val="nil"/>
          <w:insideV w:val="single" w:sz="8" w:space="0" w:color="E32D9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2D91" w:themeColor="accent1"/>
          <w:left w:val="single" w:sz="8" w:space="0" w:color="E32D91" w:themeColor="accent1"/>
          <w:bottom w:val="single" w:sz="8" w:space="0" w:color="E32D91" w:themeColor="accent1"/>
          <w:right w:val="single" w:sz="8" w:space="0" w:color="E32D91" w:themeColor="accent1"/>
          <w:insideH w:val="nil"/>
          <w:insideV w:val="single" w:sz="8" w:space="0" w:color="E32D9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tblStylePr w:type="band1Vert">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shd w:val="clear" w:color="auto" w:fill="F8CAE3" w:themeFill="accent1" w:themeFillTint="3F"/>
      </w:tcPr>
    </w:tblStylePr>
    <w:tblStylePr w:type="band1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insideV w:val="single" w:sz="8" w:space="0" w:color="E32D91" w:themeColor="accent1"/>
        </w:tcBorders>
        <w:shd w:val="clear" w:color="auto" w:fill="F8CAE3" w:themeFill="accent1" w:themeFillTint="3F"/>
      </w:tcPr>
    </w:tblStylePr>
    <w:tblStylePr w:type="band2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insideV w:val="single" w:sz="8" w:space="0" w:color="E32D9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insideH w:val="single" w:sz="8" w:space="0" w:color="C830CC" w:themeColor="accent2"/>
        <w:insideV w:val="single" w:sz="8" w:space="0" w:color="C830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30CC" w:themeColor="accent2"/>
          <w:left w:val="single" w:sz="8" w:space="0" w:color="C830CC" w:themeColor="accent2"/>
          <w:bottom w:val="single" w:sz="18" w:space="0" w:color="C830CC" w:themeColor="accent2"/>
          <w:right w:val="single" w:sz="8" w:space="0" w:color="C830CC" w:themeColor="accent2"/>
          <w:insideH w:val="nil"/>
          <w:insideV w:val="single" w:sz="8" w:space="0" w:color="C830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30CC" w:themeColor="accent2"/>
          <w:left w:val="single" w:sz="8" w:space="0" w:color="C830CC" w:themeColor="accent2"/>
          <w:bottom w:val="single" w:sz="8" w:space="0" w:color="C830CC" w:themeColor="accent2"/>
          <w:right w:val="single" w:sz="8" w:space="0" w:color="C830CC" w:themeColor="accent2"/>
          <w:insideH w:val="nil"/>
          <w:insideV w:val="single" w:sz="8" w:space="0" w:color="C830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tcPr>
    </w:tblStylePr>
    <w:tblStylePr w:type="band1Vert">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shd w:val="clear" w:color="auto" w:fill="F1CBF2" w:themeFill="accent2" w:themeFillTint="3F"/>
      </w:tcPr>
    </w:tblStylePr>
    <w:tblStylePr w:type="band1Horz">
      <w:tblPr/>
      <w:tcPr>
        <w:tcBorders>
          <w:top w:val="single" w:sz="8" w:space="0" w:color="C830CC" w:themeColor="accent2"/>
          <w:left w:val="single" w:sz="8" w:space="0" w:color="C830CC" w:themeColor="accent2"/>
          <w:bottom w:val="single" w:sz="8" w:space="0" w:color="C830CC" w:themeColor="accent2"/>
          <w:right w:val="single" w:sz="8" w:space="0" w:color="C830CC" w:themeColor="accent2"/>
          <w:insideV w:val="single" w:sz="8" w:space="0" w:color="C830CC" w:themeColor="accent2"/>
        </w:tcBorders>
        <w:shd w:val="clear" w:color="auto" w:fill="F1CBF2" w:themeFill="accent2" w:themeFillTint="3F"/>
      </w:tcPr>
    </w:tblStylePr>
    <w:tblStylePr w:type="band2Horz">
      <w:tblPr/>
      <w:tcPr>
        <w:tcBorders>
          <w:top w:val="single" w:sz="8" w:space="0" w:color="C830CC" w:themeColor="accent2"/>
          <w:left w:val="single" w:sz="8" w:space="0" w:color="C830CC" w:themeColor="accent2"/>
          <w:bottom w:val="single" w:sz="8" w:space="0" w:color="C830CC" w:themeColor="accent2"/>
          <w:right w:val="single" w:sz="8" w:space="0" w:color="C830CC" w:themeColor="accent2"/>
          <w:insideV w:val="single" w:sz="8" w:space="0" w:color="C830C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insideH w:val="single" w:sz="8" w:space="0" w:color="4EA6DC" w:themeColor="accent3"/>
        <w:insideV w:val="single" w:sz="8" w:space="0" w:color="4EA6D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6DC" w:themeColor="accent3"/>
          <w:left w:val="single" w:sz="8" w:space="0" w:color="4EA6DC" w:themeColor="accent3"/>
          <w:bottom w:val="single" w:sz="18" w:space="0" w:color="4EA6DC" w:themeColor="accent3"/>
          <w:right w:val="single" w:sz="8" w:space="0" w:color="4EA6DC" w:themeColor="accent3"/>
          <w:insideH w:val="nil"/>
          <w:insideV w:val="single" w:sz="8" w:space="0" w:color="4EA6D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6DC" w:themeColor="accent3"/>
          <w:left w:val="single" w:sz="8" w:space="0" w:color="4EA6DC" w:themeColor="accent3"/>
          <w:bottom w:val="single" w:sz="8" w:space="0" w:color="4EA6DC" w:themeColor="accent3"/>
          <w:right w:val="single" w:sz="8" w:space="0" w:color="4EA6DC" w:themeColor="accent3"/>
          <w:insideH w:val="nil"/>
          <w:insideV w:val="single" w:sz="8" w:space="0" w:color="4EA6D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tcPr>
    </w:tblStylePr>
    <w:tblStylePr w:type="band1Vert">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shd w:val="clear" w:color="auto" w:fill="D3E8F6" w:themeFill="accent3" w:themeFillTint="3F"/>
      </w:tcPr>
    </w:tblStylePr>
    <w:tblStylePr w:type="band1Horz">
      <w:tblPr/>
      <w:tcPr>
        <w:tcBorders>
          <w:top w:val="single" w:sz="8" w:space="0" w:color="4EA6DC" w:themeColor="accent3"/>
          <w:left w:val="single" w:sz="8" w:space="0" w:color="4EA6DC" w:themeColor="accent3"/>
          <w:bottom w:val="single" w:sz="8" w:space="0" w:color="4EA6DC" w:themeColor="accent3"/>
          <w:right w:val="single" w:sz="8" w:space="0" w:color="4EA6DC" w:themeColor="accent3"/>
          <w:insideV w:val="single" w:sz="8" w:space="0" w:color="4EA6DC" w:themeColor="accent3"/>
        </w:tcBorders>
        <w:shd w:val="clear" w:color="auto" w:fill="D3E8F6" w:themeFill="accent3" w:themeFillTint="3F"/>
      </w:tcPr>
    </w:tblStylePr>
    <w:tblStylePr w:type="band2Horz">
      <w:tblPr/>
      <w:tcPr>
        <w:tcBorders>
          <w:top w:val="single" w:sz="8" w:space="0" w:color="4EA6DC" w:themeColor="accent3"/>
          <w:left w:val="single" w:sz="8" w:space="0" w:color="4EA6DC" w:themeColor="accent3"/>
          <w:bottom w:val="single" w:sz="8" w:space="0" w:color="4EA6DC" w:themeColor="accent3"/>
          <w:right w:val="single" w:sz="8" w:space="0" w:color="4EA6DC" w:themeColor="accent3"/>
          <w:insideV w:val="single" w:sz="8" w:space="0" w:color="4EA6DC"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insideH w:val="single" w:sz="8" w:space="0" w:color="4775E7" w:themeColor="accent4"/>
        <w:insideV w:val="single" w:sz="8" w:space="0" w:color="4775E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775E7" w:themeColor="accent4"/>
          <w:left w:val="single" w:sz="8" w:space="0" w:color="4775E7" w:themeColor="accent4"/>
          <w:bottom w:val="single" w:sz="18" w:space="0" w:color="4775E7" w:themeColor="accent4"/>
          <w:right w:val="single" w:sz="8" w:space="0" w:color="4775E7" w:themeColor="accent4"/>
          <w:insideH w:val="nil"/>
          <w:insideV w:val="single" w:sz="8" w:space="0" w:color="4775E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775E7" w:themeColor="accent4"/>
          <w:left w:val="single" w:sz="8" w:space="0" w:color="4775E7" w:themeColor="accent4"/>
          <w:bottom w:val="single" w:sz="8" w:space="0" w:color="4775E7" w:themeColor="accent4"/>
          <w:right w:val="single" w:sz="8" w:space="0" w:color="4775E7" w:themeColor="accent4"/>
          <w:insideH w:val="nil"/>
          <w:insideV w:val="single" w:sz="8" w:space="0" w:color="4775E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tcPr>
    </w:tblStylePr>
    <w:tblStylePr w:type="band1Vert">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shd w:val="clear" w:color="auto" w:fill="D1DCF9" w:themeFill="accent4" w:themeFillTint="3F"/>
      </w:tcPr>
    </w:tblStylePr>
    <w:tblStylePr w:type="band1Horz">
      <w:tblPr/>
      <w:tcPr>
        <w:tcBorders>
          <w:top w:val="single" w:sz="8" w:space="0" w:color="4775E7" w:themeColor="accent4"/>
          <w:left w:val="single" w:sz="8" w:space="0" w:color="4775E7" w:themeColor="accent4"/>
          <w:bottom w:val="single" w:sz="8" w:space="0" w:color="4775E7" w:themeColor="accent4"/>
          <w:right w:val="single" w:sz="8" w:space="0" w:color="4775E7" w:themeColor="accent4"/>
          <w:insideV w:val="single" w:sz="8" w:space="0" w:color="4775E7" w:themeColor="accent4"/>
        </w:tcBorders>
        <w:shd w:val="clear" w:color="auto" w:fill="D1DCF9" w:themeFill="accent4" w:themeFillTint="3F"/>
      </w:tcPr>
    </w:tblStylePr>
    <w:tblStylePr w:type="band2Horz">
      <w:tblPr/>
      <w:tcPr>
        <w:tcBorders>
          <w:top w:val="single" w:sz="8" w:space="0" w:color="4775E7" w:themeColor="accent4"/>
          <w:left w:val="single" w:sz="8" w:space="0" w:color="4775E7" w:themeColor="accent4"/>
          <w:bottom w:val="single" w:sz="8" w:space="0" w:color="4775E7" w:themeColor="accent4"/>
          <w:right w:val="single" w:sz="8" w:space="0" w:color="4775E7" w:themeColor="accent4"/>
          <w:insideV w:val="single" w:sz="8" w:space="0" w:color="4775E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insideH w:val="single" w:sz="8" w:space="0" w:color="8971E1" w:themeColor="accent5"/>
        <w:insideV w:val="single" w:sz="8" w:space="0" w:color="8971E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971E1" w:themeColor="accent5"/>
          <w:left w:val="single" w:sz="8" w:space="0" w:color="8971E1" w:themeColor="accent5"/>
          <w:bottom w:val="single" w:sz="18" w:space="0" w:color="8971E1" w:themeColor="accent5"/>
          <w:right w:val="single" w:sz="8" w:space="0" w:color="8971E1" w:themeColor="accent5"/>
          <w:insideH w:val="nil"/>
          <w:insideV w:val="single" w:sz="8" w:space="0" w:color="8971E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971E1" w:themeColor="accent5"/>
          <w:left w:val="single" w:sz="8" w:space="0" w:color="8971E1" w:themeColor="accent5"/>
          <w:bottom w:val="single" w:sz="8" w:space="0" w:color="8971E1" w:themeColor="accent5"/>
          <w:right w:val="single" w:sz="8" w:space="0" w:color="8971E1" w:themeColor="accent5"/>
          <w:insideH w:val="nil"/>
          <w:insideV w:val="single" w:sz="8" w:space="0" w:color="8971E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tblStylePr w:type="band1Vert">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shd w:val="clear" w:color="auto" w:fill="E1DBF7" w:themeFill="accent5" w:themeFillTint="3F"/>
      </w:tcPr>
    </w:tblStylePr>
    <w:tblStylePr w:type="band1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insideV w:val="single" w:sz="8" w:space="0" w:color="8971E1" w:themeColor="accent5"/>
        </w:tcBorders>
        <w:shd w:val="clear" w:color="auto" w:fill="E1DBF7" w:themeFill="accent5" w:themeFillTint="3F"/>
      </w:tcPr>
    </w:tblStylePr>
    <w:tblStylePr w:type="band2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insideV w:val="single" w:sz="8" w:space="0" w:color="8971E1"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18" w:space="0" w:color="D54773" w:themeColor="accent6"/>
          <w:right w:val="single" w:sz="8" w:space="0" w:color="D54773" w:themeColor="accent6"/>
          <w:insideH w:val="nil"/>
          <w:insideV w:val="single" w:sz="8" w:space="0" w:color="D5477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insideH w:val="nil"/>
          <w:insideV w:val="single" w:sz="8" w:space="0" w:color="D5477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shd w:val="clear" w:color="auto" w:fill="F4D1DC" w:themeFill="accent6" w:themeFillTint="3F"/>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shd w:val="clear" w:color="auto" w:fill="F4D1DC" w:themeFill="accent6" w:themeFillTint="3F"/>
      </w:tcPr>
    </w:tblStylePr>
    <w:tblStylePr w:type="band2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single" w:sz="8" w:space="0" w:color="EA61AC" w:themeColor="accent1" w:themeTint="BF"/>
      </w:tblBorders>
    </w:tblPr>
    <w:tblStylePr w:type="firstRow">
      <w:pPr>
        <w:spacing w:before="0" w:after="0" w:line="240" w:lineRule="auto"/>
      </w:pPr>
      <w:rPr>
        <w:b/>
        <w:bCs/>
        <w:color w:val="FFFFFF" w:themeColor="background1"/>
      </w:rPr>
      <w:tblPr/>
      <w:tcPr>
        <w:tc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nil"/>
          <w:insideV w:val="nil"/>
        </w:tcBorders>
        <w:shd w:val="clear" w:color="auto" w:fill="E32D91" w:themeFill="accent1"/>
      </w:tcPr>
    </w:tblStylePr>
    <w:tblStylePr w:type="lastRow">
      <w:pPr>
        <w:spacing w:before="0" w:after="0" w:line="240" w:lineRule="auto"/>
      </w:pPr>
      <w:rPr>
        <w:b/>
        <w:bCs/>
      </w:rPr>
      <w:tblPr/>
      <w:tcPr>
        <w:tcBorders>
          <w:top w:val="double" w:sz="6"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AE3" w:themeFill="accent1" w:themeFillTint="3F"/>
      </w:tcPr>
    </w:tblStylePr>
    <w:tblStylePr w:type="band1Horz">
      <w:tblPr/>
      <w:tcPr>
        <w:tcBorders>
          <w:insideH w:val="nil"/>
          <w:insideV w:val="nil"/>
        </w:tcBorders>
        <w:shd w:val="clear" w:color="auto" w:fill="F8CAE3"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single" w:sz="8" w:space="0" w:color="D662DA" w:themeColor="accent2" w:themeTint="BF"/>
      </w:tblBorders>
    </w:tblPr>
    <w:tblStylePr w:type="firstRow">
      <w:pPr>
        <w:spacing w:before="0" w:after="0" w:line="240" w:lineRule="auto"/>
      </w:pPr>
      <w:rPr>
        <w:b/>
        <w:bCs/>
        <w:color w:val="FFFFFF" w:themeColor="background1"/>
      </w:rPr>
      <w:tblPr/>
      <w:tcPr>
        <w:tcBorders>
          <w:top w:val="single" w:sz="8"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nil"/>
          <w:insideV w:val="nil"/>
        </w:tcBorders>
        <w:shd w:val="clear" w:color="auto" w:fill="C830CC" w:themeFill="accent2"/>
      </w:tcPr>
    </w:tblStylePr>
    <w:tblStylePr w:type="lastRow">
      <w:pPr>
        <w:spacing w:before="0" w:after="0" w:line="240" w:lineRule="auto"/>
      </w:pPr>
      <w:rPr>
        <w:b/>
        <w:bCs/>
      </w:rPr>
      <w:tblPr/>
      <w:tcPr>
        <w:tcBorders>
          <w:top w:val="double" w:sz="6"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CBF2" w:themeFill="accent2" w:themeFillTint="3F"/>
      </w:tcPr>
    </w:tblStylePr>
    <w:tblStylePr w:type="band1Horz">
      <w:tblPr/>
      <w:tcPr>
        <w:tcBorders>
          <w:insideH w:val="nil"/>
          <w:insideV w:val="nil"/>
        </w:tcBorders>
        <w:shd w:val="clear" w:color="auto" w:fill="F1CB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single" w:sz="8" w:space="0" w:color="7ABCE4" w:themeColor="accent3" w:themeTint="BF"/>
      </w:tblBorders>
    </w:tblPr>
    <w:tblStylePr w:type="firstRow">
      <w:pPr>
        <w:spacing w:before="0" w:after="0" w:line="240" w:lineRule="auto"/>
      </w:pPr>
      <w:rPr>
        <w:b/>
        <w:bCs/>
        <w:color w:val="FFFFFF" w:themeColor="background1"/>
      </w:rPr>
      <w:tblPr/>
      <w:tcPr>
        <w:tcBorders>
          <w:top w:val="single" w:sz="8"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nil"/>
          <w:insideV w:val="nil"/>
        </w:tcBorders>
        <w:shd w:val="clear" w:color="auto" w:fill="4EA6DC" w:themeFill="accent3"/>
      </w:tcPr>
    </w:tblStylePr>
    <w:tblStylePr w:type="lastRow">
      <w:pPr>
        <w:spacing w:before="0" w:after="0" w:line="240" w:lineRule="auto"/>
      </w:pPr>
      <w:rPr>
        <w:b/>
        <w:bCs/>
      </w:rPr>
      <w:tblPr/>
      <w:tcPr>
        <w:tcBorders>
          <w:top w:val="double" w:sz="6"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3E8F6" w:themeFill="accent3" w:themeFillTint="3F"/>
      </w:tcPr>
    </w:tblStylePr>
    <w:tblStylePr w:type="band1Horz">
      <w:tblPr/>
      <w:tcPr>
        <w:tcBorders>
          <w:insideH w:val="nil"/>
          <w:insideV w:val="nil"/>
        </w:tcBorders>
        <w:shd w:val="clear" w:color="auto" w:fill="D3E8F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single" w:sz="8" w:space="0" w:color="7597ED" w:themeColor="accent4" w:themeTint="BF"/>
      </w:tblBorders>
    </w:tblPr>
    <w:tblStylePr w:type="firstRow">
      <w:pPr>
        <w:spacing w:before="0" w:after="0" w:line="240" w:lineRule="auto"/>
      </w:pPr>
      <w:rPr>
        <w:b/>
        <w:bCs/>
        <w:color w:val="FFFFFF" w:themeColor="background1"/>
      </w:rPr>
      <w:tblPr/>
      <w:tcPr>
        <w:tcBorders>
          <w:top w:val="single" w:sz="8"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nil"/>
          <w:insideV w:val="nil"/>
        </w:tcBorders>
        <w:shd w:val="clear" w:color="auto" w:fill="4775E7" w:themeFill="accent4"/>
      </w:tcPr>
    </w:tblStylePr>
    <w:tblStylePr w:type="lastRow">
      <w:pPr>
        <w:spacing w:before="0" w:after="0" w:line="240" w:lineRule="auto"/>
      </w:pPr>
      <w:rPr>
        <w:b/>
        <w:bCs/>
      </w:rPr>
      <w:tblPr/>
      <w:tcPr>
        <w:tcBorders>
          <w:top w:val="double" w:sz="6"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CF9" w:themeFill="accent4" w:themeFillTint="3F"/>
      </w:tcPr>
    </w:tblStylePr>
    <w:tblStylePr w:type="band1Horz">
      <w:tblPr/>
      <w:tcPr>
        <w:tcBorders>
          <w:insideH w:val="nil"/>
          <w:insideV w:val="nil"/>
        </w:tcBorders>
        <w:shd w:val="clear" w:color="auto" w:fill="D1DCF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single" w:sz="8" w:space="0" w:color="A694E8" w:themeColor="accent5" w:themeTint="BF"/>
      </w:tblBorders>
    </w:tblPr>
    <w:tblStylePr w:type="firstRow">
      <w:pPr>
        <w:spacing w:before="0" w:after="0" w:line="240" w:lineRule="auto"/>
      </w:pPr>
      <w:rPr>
        <w:b/>
        <w:bCs/>
        <w:color w:val="FFFFFF" w:themeColor="background1"/>
      </w:rPr>
      <w:tblPr/>
      <w:tcPr>
        <w:tc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nil"/>
          <w:insideV w:val="nil"/>
        </w:tcBorders>
        <w:shd w:val="clear" w:color="auto" w:fill="8971E1" w:themeFill="accent5"/>
      </w:tcPr>
    </w:tblStylePr>
    <w:tblStylePr w:type="lastRow">
      <w:pPr>
        <w:spacing w:before="0" w:after="0" w:line="240" w:lineRule="auto"/>
      </w:pPr>
      <w:rPr>
        <w:b/>
        <w:bCs/>
      </w:rPr>
      <w:tblPr/>
      <w:tcPr>
        <w:tcBorders>
          <w:top w:val="double" w:sz="6"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1DBF7" w:themeFill="accent5" w:themeFillTint="3F"/>
      </w:tcPr>
    </w:tblStylePr>
    <w:tblStylePr w:type="band1Horz">
      <w:tblPr/>
      <w:tcPr>
        <w:tcBorders>
          <w:insideH w:val="nil"/>
          <w:insideV w:val="nil"/>
        </w:tcBorders>
        <w:shd w:val="clear" w:color="auto" w:fill="E1DBF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tblBorders>
    </w:tblPr>
    <w:tblStylePr w:type="firstRow">
      <w:pPr>
        <w:spacing w:before="0" w:after="0" w:line="240" w:lineRule="auto"/>
      </w:pPr>
      <w:rPr>
        <w:b/>
        <w:bCs/>
        <w:color w:val="FFFFFF" w:themeColor="background1"/>
      </w:rPr>
      <w:tblPr/>
      <w:tcPr>
        <w:tc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shd w:val="clear" w:color="auto" w:fill="D54773" w:themeFill="accent6"/>
      </w:tcPr>
    </w:tblStylePr>
    <w:tblStylePr w:type="lastRow">
      <w:pPr>
        <w:spacing w:before="0" w:after="0" w:line="240" w:lineRule="auto"/>
      </w:pPr>
      <w:rPr>
        <w:b/>
        <w:bCs/>
      </w:rPr>
      <w:tblPr/>
      <w:tcPr>
        <w:tcBorders>
          <w:top w:val="double" w:sz="6"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D1DC" w:themeFill="accent6" w:themeFillTint="3F"/>
      </w:tcPr>
    </w:tblStylePr>
    <w:tblStylePr w:type="band1Horz">
      <w:tblPr/>
      <w:tcPr>
        <w:tcBorders>
          <w:insideH w:val="nil"/>
          <w:insideV w:val="nil"/>
        </w:tcBorders>
        <w:shd w:val="clear" w:color="auto" w:fill="F4D1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2D9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32D91" w:themeFill="accent1"/>
      </w:tcPr>
    </w:tblStylePr>
    <w:tblStylePr w:type="lastCol">
      <w:rPr>
        <w:b/>
        <w:bCs/>
        <w:color w:val="FFFFFF" w:themeColor="background1"/>
      </w:rPr>
      <w:tblPr/>
      <w:tcPr>
        <w:tcBorders>
          <w:left w:val="nil"/>
          <w:right w:val="nil"/>
          <w:insideH w:val="nil"/>
          <w:insideV w:val="nil"/>
        </w:tcBorders>
        <w:shd w:val="clear" w:color="auto" w:fill="E32D9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30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30CC" w:themeFill="accent2"/>
      </w:tcPr>
    </w:tblStylePr>
    <w:tblStylePr w:type="lastCol">
      <w:rPr>
        <w:b/>
        <w:bCs/>
        <w:color w:val="FFFFFF" w:themeColor="background1"/>
      </w:rPr>
      <w:tblPr/>
      <w:tcPr>
        <w:tcBorders>
          <w:left w:val="nil"/>
          <w:right w:val="nil"/>
          <w:insideH w:val="nil"/>
          <w:insideV w:val="nil"/>
        </w:tcBorders>
        <w:shd w:val="clear" w:color="auto" w:fill="C830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6D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6DC" w:themeFill="accent3"/>
      </w:tcPr>
    </w:tblStylePr>
    <w:tblStylePr w:type="lastCol">
      <w:rPr>
        <w:b/>
        <w:bCs/>
        <w:color w:val="FFFFFF" w:themeColor="background1"/>
      </w:rPr>
      <w:tblPr/>
      <w:tcPr>
        <w:tcBorders>
          <w:left w:val="nil"/>
          <w:right w:val="nil"/>
          <w:insideH w:val="nil"/>
          <w:insideV w:val="nil"/>
        </w:tcBorders>
        <w:shd w:val="clear" w:color="auto" w:fill="4EA6D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775E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775E7" w:themeFill="accent4"/>
      </w:tcPr>
    </w:tblStylePr>
    <w:tblStylePr w:type="lastCol">
      <w:rPr>
        <w:b/>
        <w:bCs/>
        <w:color w:val="FFFFFF" w:themeColor="background1"/>
      </w:rPr>
      <w:tblPr/>
      <w:tcPr>
        <w:tcBorders>
          <w:left w:val="nil"/>
          <w:right w:val="nil"/>
          <w:insideH w:val="nil"/>
          <w:insideV w:val="nil"/>
        </w:tcBorders>
        <w:shd w:val="clear" w:color="auto" w:fill="4775E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971E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971E1" w:themeFill="accent5"/>
      </w:tcPr>
    </w:tblStylePr>
    <w:tblStylePr w:type="lastCol">
      <w:rPr>
        <w:b/>
        <w:bCs/>
        <w:color w:val="FFFFFF" w:themeColor="background1"/>
      </w:rPr>
      <w:tblPr/>
      <w:tcPr>
        <w:tcBorders>
          <w:left w:val="nil"/>
          <w:right w:val="nil"/>
          <w:insideH w:val="nil"/>
          <w:insideV w:val="nil"/>
        </w:tcBorders>
        <w:shd w:val="clear" w:color="auto" w:fill="8971E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477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4773" w:themeFill="accent6"/>
      </w:tcPr>
    </w:tblStylePr>
    <w:tblStylePr w:type="lastCol">
      <w:rPr>
        <w:b/>
        <w:bCs/>
        <w:color w:val="FFFFFF" w:themeColor="background1"/>
      </w:rPr>
      <w:tblPr/>
      <w:tcPr>
        <w:tcBorders>
          <w:left w:val="nil"/>
          <w:right w:val="nil"/>
          <w:insideH w:val="nil"/>
          <w:insideV w:val="nil"/>
        </w:tcBorders>
        <w:shd w:val="clear" w:color="auto" w:fill="D5477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45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2D91" w:themeColor="accent1"/>
        <w:bottom w:val="single" w:sz="8" w:space="0" w:color="E32D91" w:themeColor="accent1"/>
      </w:tblBorders>
    </w:tblPr>
    <w:tblStylePr w:type="firstRow">
      <w:rPr>
        <w:rFonts w:asciiTheme="majorHAnsi" w:eastAsiaTheme="majorEastAsia" w:hAnsiTheme="majorHAnsi" w:cstheme="majorBidi"/>
      </w:rPr>
      <w:tblPr/>
      <w:tcPr>
        <w:tcBorders>
          <w:top w:val="nil"/>
          <w:bottom w:val="single" w:sz="8" w:space="0" w:color="E32D91" w:themeColor="accent1"/>
        </w:tcBorders>
      </w:tcPr>
    </w:tblStylePr>
    <w:tblStylePr w:type="lastRow">
      <w:rPr>
        <w:b/>
        <w:bCs/>
        <w:color w:val="454551" w:themeColor="text2"/>
      </w:rPr>
      <w:tblPr/>
      <w:tcPr>
        <w:tcBorders>
          <w:top w:val="single" w:sz="8" w:space="0" w:color="E32D91" w:themeColor="accent1"/>
          <w:bottom w:val="single" w:sz="8" w:space="0" w:color="E32D91" w:themeColor="accent1"/>
        </w:tcBorders>
      </w:tcPr>
    </w:tblStylePr>
    <w:tblStylePr w:type="firstCol">
      <w:rPr>
        <w:b/>
        <w:bCs/>
      </w:rPr>
    </w:tblStylePr>
    <w:tblStylePr w:type="lastCol">
      <w:rPr>
        <w:b/>
        <w:bCs/>
      </w:rPr>
      <w:tblPr/>
      <w:tcPr>
        <w:tcBorders>
          <w:top w:val="single" w:sz="8" w:space="0" w:color="E32D91" w:themeColor="accent1"/>
          <w:bottom w:val="single" w:sz="8" w:space="0" w:color="E32D91" w:themeColor="accent1"/>
        </w:tcBorders>
      </w:tcPr>
    </w:tblStylePr>
    <w:tblStylePr w:type="band1Vert">
      <w:tblPr/>
      <w:tcPr>
        <w:shd w:val="clear" w:color="auto" w:fill="F8CAE3" w:themeFill="accent1" w:themeFillTint="3F"/>
      </w:tcPr>
    </w:tblStylePr>
    <w:tblStylePr w:type="band1Horz">
      <w:tblPr/>
      <w:tcPr>
        <w:shd w:val="clear" w:color="auto" w:fill="F8CAE3"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830CC" w:themeColor="accent2"/>
        <w:bottom w:val="single" w:sz="8" w:space="0" w:color="C830CC" w:themeColor="accent2"/>
      </w:tblBorders>
    </w:tblPr>
    <w:tblStylePr w:type="firstRow">
      <w:rPr>
        <w:rFonts w:asciiTheme="majorHAnsi" w:eastAsiaTheme="majorEastAsia" w:hAnsiTheme="majorHAnsi" w:cstheme="majorBidi"/>
      </w:rPr>
      <w:tblPr/>
      <w:tcPr>
        <w:tcBorders>
          <w:top w:val="nil"/>
          <w:bottom w:val="single" w:sz="8" w:space="0" w:color="C830CC" w:themeColor="accent2"/>
        </w:tcBorders>
      </w:tcPr>
    </w:tblStylePr>
    <w:tblStylePr w:type="lastRow">
      <w:rPr>
        <w:b/>
        <w:bCs/>
        <w:color w:val="454551" w:themeColor="text2"/>
      </w:rPr>
      <w:tblPr/>
      <w:tcPr>
        <w:tcBorders>
          <w:top w:val="single" w:sz="8" w:space="0" w:color="C830CC" w:themeColor="accent2"/>
          <w:bottom w:val="single" w:sz="8" w:space="0" w:color="C830CC" w:themeColor="accent2"/>
        </w:tcBorders>
      </w:tcPr>
    </w:tblStylePr>
    <w:tblStylePr w:type="firstCol">
      <w:rPr>
        <w:b/>
        <w:bCs/>
      </w:rPr>
    </w:tblStylePr>
    <w:tblStylePr w:type="lastCol">
      <w:rPr>
        <w:b/>
        <w:bCs/>
      </w:rPr>
      <w:tblPr/>
      <w:tcPr>
        <w:tcBorders>
          <w:top w:val="single" w:sz="8" w:space="0" w:color="C830CC" w:themeColor="accent2"/>
          <w:bottom w:val="single" w:sz="8" w:space="0" w:color="C830CC" w:themeColor="accent2"/>
        </w:tcBorders>
      </w:tcPr>
    </w:tblStylePr>
    <w:tblStylePr w:type="band1Vert">
      <w:tblPr/>
      <w:tcPr>
        <w:shd w:val="clear" w:color="auto" w:fill="F1CBF2" w:themeFill="accent2" w:themeFillTint="3F"/>
      </w:tcPr>
    </w:tblStylePr>
    <w:tblStylePr w:type="band1Horz">
      <w:tblPr/>
      <w:tcPr>
        <w:shd w:val="clear" w:color="auto" w:fill="F1CBF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4EA6DC" w:themeColor="accent3"/>
        <w:bottom w:val="single" w:sz="8" w:space="0" w:color="4EA6DC" w:themeColor="accent3"/>
      </w:tblBorders>
    </w:tblPr>
    <w:tblStylePr w:type="firstRow">
      <w:rPr>
        <w:rFonts w:asciiTheme="majorHAnsi" w:eastAsiaTheme="majorEastAsia" w:hAnsiTheme="majorHAnsi" w:cstheme="majorBidi"/>
      </w:rPr>
      <w:tblPr/>
      <w:tcPr>
        <w:tcBorders>
          <w:top w:val="nil"/>
          <w:bottom w:val="single" w:sz="8" w:space="0" w:color="4EA6DC" w:themeColor="accent3"/>
        </w:tcBorders>
      </w:tcPr>
    </w:tblStylePr>
    <w:tblStylePr w:type="lastRow">
      <w:rPr>
        <w:b/>
        <w:bCs/>
        <w:color w:val="454551" w:themeColor="text2"/>
      </w:rPr>
      <w:tblPr/>
      <w:tcPr>
        <w:tcBorders>
          <w:top w:val="single" w:sz="8" w:space="0" w:color="4EA6DC" w:themeColor="accent3"/>
          <w:bottom w:val="single" w:sz="8" w:space="0" w:color="4EA6DC" w:themeColor="accent3"/>
        </w:tcBorders>
      </w:tcPr>
    </w:tblStylePr>
    <w:tblStylePr w:type="firstCol">
      <w:rPr>
        <w:b/>
        <w:bCs/>
      </w:rPr>
    </w:tblStylePr>
    <w:tblStylePr w:type="lastCol">
      <w:rPr>
        <w:b/>
        <w:bCs/>
      </w:rPr>
      <w:tblPr/>
      <w:tcPr>
        <w:tcBorders>
          <w:top w:val="single" w:sz="8" w:space="0" w:color="4EA6DC" w:themeColor="accent3"/>
          <w:bottom w:val="single" w:sz="8" w:space="0" w:color="4EA6DC" w:themeColor="accent3"/>
        </w:tcBorders>
      </w:tcPr>
    </w:tblStylePr>
    <w:tblStylePr w:type="band1Vert">
      <w:tblPr/>
      <w:tcPr>
        <w:shd w:val="clear" w:color="auto" w:fill="D3E8F6" w:themeFill="accent3" w:themeFillTint="3F"/>
      </w:tcPr>
    </w:tblStylePr>
    <w:tblStylePr w:type="band1Horz">
      <w:tblPr/>
      <w:tcPr>
        <w:shd w:val="clear" w:color="auto" w:fill="D3E8F6"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775E7" w:themeColor="accent4"/>
        <w:bottom w:val="single" w:sz="8" w:space="0" w:color="4775E7" w:themeColor="accent4"/>
      </w:tblBorders>
    </w:tblPr>
    <w:tblStylePr w:type="firstRow">
      <w:rPr>
        <w:rFonts w:asciiTheme="majorHAnsi" w:eastAsiaTheme="majorEastAsia" w:hAnsiTheme="majorHAnsi" w:cstheme="majorBidi"/>
      </w:rPr>
      <w:tblPr/>
      <w:tcPr>
        <w:tcBorders>
          <w:top w:val="nil"/>
          <w:bottom w:val="single" w:sz="8" w:space="0" w:color="4775E7" w:themeColor="accent4"/>
        </w:tcBorders>
      </w:tcPr>
    </w:tblStylePr>
    <w:tblStylePr w:type="lastRow">
      <w:rPr>
        <w:b/>
        <w:bCs/>
        <w:color w:val="454551" w:themeColor="text2"/>
      </w:rPr>
      <w:tblPr/>
      <w:tcPr>
        <w:tcBorders>
          <w:top w:val="single" w:sz="8" w:space="0" w:color="4775E7" w:themeColor="accent4"/>
          <w:bottom w:val="single" w:sz="8" w:space="0" w:color="4775E7" w:themeColor="accent4"/>
        </w:tcBorders>
      </w:tcPr>
    </w:tblStylePr>
    <w:tblStylePr w:type="firstCol">
      <w:rPr>
        <w:b/>
        <w:bCs/>
      </w:rPr>
    </w:tblStylePr>
    <w:tblStylePr w:type="lastCol">
      <w:rPr>
        <w:b/>
        <w:bCs/>
      </w:rPr>
      <w:tblPr/>
      <w:tcPr>
        <w:tcBorders>
          <w:top w:val="single" w:sz="8" w:space="0" w:color="4775E7" w:themeColor="accent4"/>
          <w:bottom w:val="single" w:sz="8" w:space="0" w:color="4775E7" w:themeColor="accent4"/>
        </w:tcBorders>
      </w:tcPr>
    </w:tblStylePr>
    <w:tblStylePr w:type="band1Vert">
      <w:tblPr/>
      <w:tcPr>
        <w:shd w:val="clear" w:color="auto" w:fill="D1DCF9" w:themeFill="accent4" w:themeFillTint="3F"/>
      </w:tcPr>
    </w:tblStylePr>
    <w:tblStylePr w:type="band1Horz">
      <w:tblPr/>
      <w:tcPr>
        <w:shd w:val="clear" w:color="auto" w:fill="D1DCF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971E1" w:themeColor="accent5"/>
        <w:bottom w:val="single" w:sz="8" w:space="0" w:color="8971E1" w:themeColor="accent5"/>
      </w:tblBorders>
    </w:tblPr>
    <w:tblStylePr w:type="firstRow">
      <w:rPr>
        <w:rFonts w:asciiTheme="majorHAnsi" w:eastAsiaTheme="majorEastAsia" w:hAnsiTheme="majorHAnsi" w:cstheme="majorBidi"/>
      </w:rPr>
      <w:tblPr/>
      <w:tcPr>
        <w:tcBorders>
          <w:top w:val="nil"/>
          <w:bottom w:val="single" w:sz="8" w:space="0" w:color="8971E1" w:themeColor="accent5"/>
        </w:tcBorders>
      </w:tcPr>
    </w:tblStylePr>
    <w:tblStylePr w:type="lastRow">
      <w:rPr>
        <w:b/>
        <w:bCs/>
        <w:color w:val="454551" w:themeColor="text2"/>
      </w:rPr>
      <w:tblPr/>
      <w:tcPr>
        <w:tcBorders>
          <w:top w:val="single" w:sz="8" w:space="0" w:color="8971E1" w:themeColor="accent5"/>
          <w:bottom w:val="single" w:sz="8" w:space="0" w:color="8971E1" w:themeColor="accent5"/>
        </w:tcBorders>
      </w:tcPr>
    </w:tblStylePr>
    <w:tblStylePr w:type="firstCol">
      <w:rPr>
        <w:b/>
        <w:bCs/>
      </w:rPr>
    </w:tblStylePr>
    <w:tblStylePr w:type="lastCol">
      <w:rPr>
        <w:b/>
        <w:bCs/>
      </w:rPr>
      <w:tblPr/>
      <w:tcPr>
        <w:tcBorders>
          <w:top w:val="single" w:sz="8" w:space="0" w:color="8971E1" w:themeColor="accent5"/>
          <w:bottom w:val="single" w:sz="8" w:space="0" w:color="8971E1" w:themeColor="accent5"/>
        </w:tcBorders>
      </w:tcPr>
    </w:tblStylePr>
    <w:tblStylePr w:type="band1Vert">
      <w:tblPr/>
      <w:tcPr>
        <w:shd w:val="clear" w:color="auto" w:fill="E1DBF7" w:themeFill="accent5" w:themeFillTint="3F"/>
      </w:tcPr>
    </w:tblStylePr>
    <w:tblStylePr w:type="band1Horz">
      <w:tblPr/>
      <w:tcPr>
        <w:shd w:val="clear" w:color="auto" w:fill="E1DBF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D54773" w:themeColor="accent6"/>
        <w:bottom w:val="single" w:sz="8" w:space="0" w:color="D54773" w:themeColor="accent6"/>
      </w:tblBorders>
    </w:tblPr>
    <w:tblStylePr w:type="firstRow">
      <w:rPr>
        <w:rFonts w:asciiTheme="majorHAnsi" w:eastAsiaTheme="majorEastAsia" w:hAnsiTheme="majorHAnsi" w:cstheme="majorBidi"/>
      </w:rPr>
      <w:tblPr/>
      <w:tcPr>
        <w:tcBorders>
          <w:top w:val="nil"/>
          <w:bottom w:val="single" w:sz="8" w:space="0" w:color="D54773" w:themeColor="accent6"/>
        </w:tcBorders>
      </w:tcPr>
    </w:tblStylePr>
    <w:tblStylePr w:type="lastRow">
      <w:rPr>
        <w:b/>
        <w:bCs/>
        <w:color w:val="454551" w:themeColor="text2"/>
      </w:rPr>
      <w:tblPr/>
      <w:tcPr>
        <w:tcBorders>
          <w:top w:val="single" w:sz="8" w:space="0" w:color="D54773" w:themeColor="accent6"/>
          <w:bottom w:val="single" w:sz="8" w:space="0" w:color="D54773" w:themeColor="accent6"/>
        </w:tcBorders>
      </w:tcPr>
    </w:tblStylePr>
    <w:tblStylePr w:type="firstCol">
      <w:rPr>
        <w:b/>
        <w:bCs/>
      </w:rPr>
    </w:tblStylePr>
    <w:tblStylePr w:type="lastCol">
      <w:rPr>
        <w:b/>
        <w:bCs/>
      </w:rPr>
      <w:tblPr/>
      <w:tcPr>
        <w:tcBorders>
          <w:top w:val="single" w:sz="8" w:space="0" w:color="D54773" w:themeColor="accent6"/>
          <w:bottom w:val="single" w:sz="8" w:space="0" w:color="D54773" w:themeColor="accent6"/>
        </w:tcBorders>
      </w:tcPr>
    </w:tblStylePr>
    <w:tblStylePr w:type="band1Vert">
      <w:tblPr/>
      <w:tcPr>
        <w:shd w:val="clear" w:color="auto" w:fill="F4D1DC" w:themeFill="accent6" w:themeFillTint="3F"/>
      </w:tcPr>
    </w:tblStylePr>
    <w:tblStylePr w:type="band1Horz">
      <w:tblPr/>
      <w:tcPr>
        <w:shd w:val="clear" w:color="auto" w:fill="F4D1DC"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tblBorders>
    </w:tblPr>
    <w:tblStylePr w:type="firstRow">
      <w:rPr>
        <w:sz w:val="24"/>
        <w:szCs w:val="24"/>
      </w:rPr>
      <w:tblPr/>
      <w:tcPr>
        <w:tcBorders>
          <w:top w:val="nil"/>
          <w:left w:val="nil"/>
          <w:bottom w:val="single" w:sz="24" w:space="0" w:color="E32D91" w:themeColor="accent1"/>
          <w:right w:val="nil"/>
          <w:insideH w:val="nil"/>
          <w:insideV w:val="nil"/>
        </w:tcBorders>
        <w:shd w:val="clear" w:color="auto" w:fill="FFFFFF" w:themeFill="background1"/>
      </w:tcPr>
    </w:tblStylePr>
    <w:tblStylePr w:type="lastRow">
      <w:tblPr/>
      <w:tcPr>
        <w:tcBorders>
          <w:top w:val="single" w:sz="8" w:space="0" w:color="E32D9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2D91" w:themeColor="accent1"/>
          <w:insideH w:val="nil"/>
          <w:insideV w:val="nil"/>
        </w:tcBorders>
        <w:shd w:val="clear" w:color="auto" w:fill="FFFFFF" w:themeFill="background1"/>
      </w:tcPr>
    </w:tblStylePr>
    <w:tblStylePr w:type="lastCol">
      <w:tblPr/>
      <w:tcPr>
        <w:tcBorders>
          <w:top w:val="nil"/>
          <w:left w:val="single" w:sz="8" w:space="0" w:color="E32D9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AE3" w:themeFill="accent1" w:themeFillTint="3F"/>
      </w:tcPr>
    </w:tblStylePr>
    <w:tblStylePr w:type="band1Horz">
      <w:tblPr/>
      <w:tcPr>
        <w:tcBorders>
          <w:top w:val="nil"/>
          <w:bottom w:val="nil"/>
          <w:insideH w:val="nil"/>
          <w:insideV w:val="nil"/>
        </w:tcBorders>
        <w:shd w:val="clear" w:color="auto" w:fill="F8CAE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tblBorders>
    </w:tblPr>
    <w:tblStylePr w:type="firstRow">
      <w:rPr>
        <w:sz w:val="24"/>
        <w:szCs w:val="24"/>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tblPr/>
      <w:tcPr>
        <w:tcBorders>
          <w:top w:val="single" w:sz="8" w:space="0" w:color="C830C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30CC" w:themeColor="accent2"/>
          <w:insideH w:val="nil"/>
          <w:insideV w:val="nil"/>
        </w:tcBorders>
        <w:shd w:val="clear" w:color="auto" w:fill="FFFFFF" w:themeFill="background1"/>
      </w:tcPr>
    </w:tblStylePr>
    <w:tblStylePr w:type="lastCol">
      <w:tblPr/>
      <w:tcPr>
        <w:tcBorders>
          <w:top w:val="nil"/>
          <w:left w:val="single" w:sz="8" w:space="0" w:color="C830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CBF2" w:themeFill="accent2" w:themeFillTint="3F"/>
      </w:tcPr>
    </w:tblStylePr>
    <w:tblStylePr w:type="band1Horz">
      <w:tblPr/>
      <w:tcPr>
        <w:tcBorders>
          <w:top w:val="nil"/>
          <w:bottom w:val="nil"/>
          <w:insideH w:val="nil"/>
          <w:insideV w:val="nil"/>
        </w:tcBorders>
        <w:shd w:val="clear" w:color="auto" w:fill="F1CB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tblBorders>
    </w:tblPr>
    <w:tblStylePr w:type="firstRow">
      <w:rPr>
        <w:sz w:val="24"/>
        <w:szCs w:val="24"/>
      </w:rPr>
      <w:tblPr/>
      <w:tcPr>
        <w:tcBorders>
          <w:top w:val="nil"/>
          <w:left w:val="nil"/>
          <w:bottom w:val="single" w:sz="24" w:space="0" w:color="4EA6DC" w:themeColor="accent3"/>
          <w:right w:val="nil"/>
          <w:insideH w:val="nil"/>
          <w:insideV w:val="nil"/>
        </w:tcBorders>
        <w:shd w:val="clear" w:color="auto" w:fill="FFFFFF" w:themeFill="background1"/>
      </w:tcPr>
    </w:tblStylePr>
    <w:tblStylePr w:type="lastRow">
      <w:tblPr/>
      <w:tcPr>
        <w:tcBorders>
          <w:top w:val="single" w:sz="8" w:space="0" w:color="4EA6D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6DC" w:themeColor="accent3"/>
          <w:insideH w:val="nil"/>
          <w:insideV w:val="nil"/>
        </w:tcBorders>
        <w:shd w:val="clear" w:color="auto" w:fill="FFFFFF" w:themeFill="background1"/>
      </w:tcPr>
    </w:tblStylePr>
    <w:tblStylePr w:type="lastCol">
      <w:tblPr/>
      <w:tcPr>
        <w:tcBorders>
          <w:top w:val="nil"/>
          <w:left w:val="single" w:sz="8" w:space="0" w:color="4EA6D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8F6" w:themeFill="accent3" w:themeFillTint="3F"/>
      </w:tcPr>
    </w:tblStylePr>
    <w:tblStylePr w:type="band1Horz">
      <w:tblPr/>
      <w:tcPr>
        <w:tcBorders>
          <w:top w:val="nil"/>
          <w:bottom w:val="nil"/>
          <w:insideH w:val="nil"/>
          <w:insideV w:val="nil"/>
        </w:tcBorders>
        <w:shd w:val="clear" w:color="auto" w:fill="D3E8F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tblBorders>
    </w:tblPr>
    <w:tblStylePr w:type="firstRow">
      <w:rPr>
        <w:sz w:val="24"/>
        <w:szCs w:val="24"/>
      </w:rPr>
      <w:tblPr/>
      <w:tcPr>
        <w:tcBorders>
          <w:top w:val="nil"/>
          <w:left w:val="nil"/>
          <w:bottom w:val="single" w:sz="24" w:space="0" w:color="4775E7" w:themeColor="accent4"/>
          <w:right w:val="nil"/>
          <w:insideH w:val="nil"/>
          <w:insideV w:val="nil"/>
        </w:tcBorders>
        <w:shd w:val="clear" w:color="auto" w:fill="FFFFFF" w:themeFill="background1"/>
      </w:tcPr>
    </w:tblStylePr>
    <w:tblStylePr w:type="lastRow">
      <w:tblPr/>
      <w:tcPr>
        <w:tcBorders>
          <w:top w:val="single" w:sz="8" w:space="0" w:color="4775E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775E7" w:themeColor="accent4"/>
          <w:insideH w:val="nil"/>
          <w:insideV w:val="nil"/>
        </w:tcBorders>
        <w:shd w:val="clear" w:color="auto" w:fill="FFFFFF" w:themeFill="background1"/>
      </w:tcPr>
    </w:tblStylePr>
    <w:tblStylePr w:type="lastCol">
      <w:tblPr/>
      <w:tcPr>
        <w:tcBorders>
          <w:top w:val="nil"/>
          <w:left w:val="single" w:sz="8" w:space="0" w:color="4775E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9" w:themeFill="accent4" w:themeFillTint="3F"/>
      </w:tcPr>
    </w:tblStylePr>
    <w:tblStylePr w:type="band1Horz">
      <w:tblPr/>
      <w:tcPr>
        <w:tcBorders>
          <w:top w:val="nil"/>
          <w:bottom w:val="nil"/>
          <w:insideH w:val="nil"/>
          <w:insideV w:val="nil"/>
        </w:tcBorders>
        <w:shd w:val="clear" w:color="auto" w:fill="D1DCF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tblBorders>
    </w:tblPr>
    <w:tblStylePr w:type="firstRow">
      <w:rPr>
        <w:sz w:val="24"/>
        <w:szCs w:val="24"/>
      </w:rPr>
      <w:tblPr/>
      <w:tcPr>
        <w:tcBorders>
          <w:top w:val="nil"/>
          <w:left w:val="nil"/>
          <w:bottom w:val="single" w:sz="24" w:space="0" w:color="8971E1" w:themeColor="accent5"/>
          <w:right w:val="nil"/>
          <w:insideH w:val="nil"/>
          <w:insideV w:val="nil"/>
        </w:tcBorders>
        <w:shd w:val="clear" w:color="auto" w:fill="FFFFFF" w:themeFill="background1"/>
      </w:tcPr>
    </w:tblStylePr>
    <w:tblStylePr w:type="lastRow">
      <w:tblPr/>
      <w:tcPr>
        <w:tcBorders>
          <w:top w:val="single" w:sz="8" w:space="0" w:color="8971E1"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971E1" w:themeColor="accent5"/>
          <w:insideH w:val="nil"/>
          <w:insideV w:val="nil"/>
        </w:tcBorders>
        <w:shd w:val="clear" w:color="auto" w:fill="FFFFFF" w:themeFill="background1"/>
      </w:tcPr>
    </w:tblStylePr>
    <w:tblStylePr w:type="lastCol">
      <w:tblPr/>
      <w:tcPr>
        <w:tcBorders>
          <w:top w:val="nil"/>
          <w:left w:val="single" w:sz="8" w:space="0" w:color="8971E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DBF7" w:themeFill="accent5" w:themeFillTint="3F"/>
      </w:tcPr>
    </w:tblStylePr>
    <w:tblStylePr w:type="band1Horz">
      <w:tblPr/>
      <w:tcPr>
        <w:tcBorders>
          <w:top w:val="nil"/>
          <w:bottom w:val="nil"/>
          <w:insideH w:val="nil"/>
          <w:insideV w:val="nil"/>
        </w:tcBorders>
        <w:shd w:val="clear" w:color="auto" w:fill="E1DBF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rPr>
        <w:sz w:val="24"/>
        <w:szCs w:val="24"/>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tblPr/>
      <w:tcPr>
        <w:tcBorders>
          <w:top w:val="single" w:sz="8" w:space="0" w:color="D5477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4773" w:themeColor="accent6"/>
          <w:insideH w:val="nil"/>
          <w:insideV w:val="nil"/>
        </w:tcBorders>
        <w:shd w:val="clear" w:color="auto" w:fill="FFFFFF" w:themeFill="background1"/>
      </w:tcPr>
    </w:tblStylePr>
    <w:tblStylePr w:type="lastCol">
      <w:tblPr/>
      <w:tcPr>
        <w:tcBorders>
          <w:top w:val="nil"/>
          <w:left w:val="single" w:sz="8" w:space="0" w:color="D5477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top w:val="nil"/>
          <w:bottom w:val="nil"/>
          <w:insideH w:val="nil"/>
          <w:insideV w:val="nil"/>
        </w:tcBorders>
        <w:shd w:val="clear" w:color="auto" w:fill="F4D1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single" w:sz="8" w:space="0" w:color="EA61AC" w:themeColor="accent1" w:themeTint="BF"/>
        <w:insideV w:val="single" w:sz="8" w:space="0" w:color="EA61AC" w:themeColor="accent1" w:themeTint="BF"/>
      </w:tblBorders>
    </w:tblPr>
    <w:tcPr>
      <w:shd w:val="clear" w:color="auto" w:fill="F8CAE3" w:themeFill="accent1" w:themeFillTint="3F"/>
    </w:tcPr>
    <w:tblStylePr w:type="firstRow">
      <w:rPr>
        <w:b/>
        <w:bCs/>
      </w:rPr>
    </w:tblStylePr>
    <w:tblStylePr w:type="lastRow">
      <w:rPr>
        <w:b/>
        <w:bCs/>
      </w:rPr>
      <w:tblPr/>
      <w:tcPr>
        <w:tcBorders>
          <w:top w:val="single" w:sz="18" w:space="0" w:color="EA61AC" w:themeColor="accent1" w:themeTint="BF"/>
        </w:tcBorders>
      </w:tcPr>
    </w:tblStylePr>
    <w:tblStylePr w:type="firstCol">
      <w:rPr>
        <w:b/>
        <w:bCs/>
      </w:rPr>
    </w:tblStylePr>
    <w:tblStylePr w:type="lastCol">
      <w:rPr>
        <w:b/>
        <w:bCs/>
      </w:rPr>
    </w:tblStylePr>
    <w:tblStylePr w:type="band1Vert">
      <w:tblPr/>
      <w:tcPr>
        <w:shd w:val="clear" w:color="auto" w:fill="F196C8" w:themeFill="accent1" w:themeFillTint="7F"/>
      </w:tcPr>
    </w:tblStylePr>
    <w:tblStylePr w:type="band1Horz">
      <w:tblPr/>
      <w:tcPr>
        <w:shd w:val="clear" w:color="auto" w:fill="F196C8"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single" w:sz="8" w:space="0" w:color="D662DA" w:themeColor="accent2" w:themeTint="BF"/>
        <w:insideV w:val="single" w:sz="8" w:space="0" w:color="D662DA" w:themeColor="accent2" w:themeTint="BF"/>
      </w:tblBorders>
    </w:tblPr>
    <w:tcPr>
      <w:shd w:val="clear" w:color="auto" w:fill="F1CBF2" w:themeFill="accent2" w:themeFillTint="3F"/>
    </w:tcPr>
    <w:tblStylePr w:type="firstRow">
      <w:rPr>
        <w:b/>
        <w:bCs/>
      </w:rPr>
    </w:tblStylePr>
    <w:tblStylePr w:type="lastRow">
      <w:rPr>
        <w:b/>
        <w:bCs/>
      </w:rPr>
      <w:tblPr/>
      <w:tcPr>
        <w:tcBorders>
          <w:top w:val="single" w:sz="18" w:space="0" w:color="D662DA" w:themeColor="accent2" w:themeTint="BF"/>
        </w:tcBorders>
      </w:tcPr>
    </w:tblStylePr>
    <w:tblStylePr w:type="firstCol">
      <w:rPr>
        <w:b/>
        <w:bCs/>
      </w:rPr>
    </w:tblStylePr>
    <w:tblStylePr w:type="lastCol">
      <w:rPr>
        <w:b/>
        <w:bCs/>
      </w:rPr>
    </w:tblStylePr>
    <w:tblStylePr w:type="band1Vert">
      <w:tblPr/>
      <w:tcPr>
        <w:shd w:val="clear" w:color="auto" w:fill="E496E6" w:themeFill="accent2" w:themeFillTint="7F"/>
      </w:tcPr>
    </w:tblStylePr>
    <w:tblStylePr w:type="band1Horz">
      <w:tblPr/>
      <w:tcPr>
        <w:shd w:val="clear" w:color="auto" w:fill="E496E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single" w:sz="8" w:space="0" w:color="7ABCE4" w:themeColor="accent3" w:themeTint="BF"/>
        <w:insideV w:val="single" w:sz="8" w:space="0" w:color="7ABCE4" w:themeColor="accent3" w:themeTint="BF"/>
      </w:tblBorders>
    </w:tblPr>
    <w:tcPr>
      <w:shd w:val="clear" w:color="auto" w:fill="D3E8F6" w:themeFill="accent3" w:themeFillTint="3F"/>
    </w:tcPr>
    <w:tblStylePr w:type="firstRow">
      <w:rPr>
        <w:b/>
        <w:bCs/>
      </w:rPr>
    </w:tblStylePr>
    <w:tblStylePr w:type="lastRow">
      <w:rPr>
        <w:b/>
        <w:bCs/>
      </w:rPr>
      <w:tblPr/>
      <w:tcPr>
        <w:tcBorders>
          <w:top w:val="single" w:sz="18" w:space="0" w:color="7ABCE4" w:themeColor="accent3" w:themeTint="BF"/>
        </w:tcBorders>
      </w:tcPr>
    </w:tblStylePr>
    <w:tblStylePr w:type="firstCol">
      <w:rPr>
        <w:b/>
        <w:bCs/>
      </w:rPr>
    </w:tblStylePr>
    <w:tblStylePr w:type="lastCol">
      <w:rPr>
        <w:b/>
        <w:bCs/>
      </w:rPr>
    </w:tblStylePr>
    <w:tblStylePr w:type="band1Vert">
      <w:tblPr/>
      <w:tcPr>
        <w:shd w:val="clear" w:color="auto" w:fill="A6D2ED" w:themeFill="accent3" w:themeFillTint="7F"/>
      </w:tcPr>
    </w:tblStylePr>
    <w:tblStylePr w:type="band1Horz">
      <w:tblPr/>
      <w:tcPr>
        <w:shd w:val="clear" w:color="auto" w:fill="A6D2E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single" w:sz="8" w:space="0" w:color="7597ED" w:themeColor="accent4" w:themeTint="BF"/>
        <w:insideV w:val="single" w:sz="8" w:space="0" w:color="7597ED" w:themeColor="accent4" w:themeTint="BF"/>
      </w:tblBorders>
    </w:tblPr>
    <w:tcPr>
      <w:shd w:val="clear" w:color="auto" w:fill="D1DCF9" w:themeFill="accent4" w:themeFillTint="3F"/>
    </w:tcPr>
    <w:tblStylePr w:type="firstRow">
      <w:rPr>
        <w:b/>
        <w:bCs/>
      </w:rPr>
    </w:tblStylePr>
    <w:tblStylePr w:type="lastRow">
      <w:rPr>
        <w:b/>
        <w:bCs/>
      </w:rPr>
      <w:tblPr/>
      <w:tcPr>
        <w:tcBorders>
          <w:top w:val="single" w:sz="18" w:space="0" w:color="7597ED" w:themeColor="accent4" w:themeTint="BF"/>
        </w:tcBorders>
      </w:tcPr>
    </w:tblStylePr>
    <w:tblStylePr w:type="firstCol">
      <w:rPr>
        <w:b/>
        <w:bCs/>
      </w:rPr>
    </w:tblStylePr>
    <w:tblStylePr w:type="lastCol">
      <w:rPr>
        <w:b/>
        <w:bCs/>
      </w:rPr>
    </w:tblStylePr>
    <w:tblStylePr w:type="band1Vert">
      <w:tblPr/>
      <w:tcPr>
        <w:shd w:val="clear" w:color="auto" w:fill="A3BAF3" w:themeFill="accent4" w:themeFillTint="7F"/>
      </w:tcPr>
    </w:tblStylePr>
    <w:tblStylePr w:type="band1Horz">
      <w:tblPr/>
      <w:tcPr>
        <w:shd w:val="clear" w:color="auto" w:fill="A3BAF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single" w:sz="8" w:space="0" w:color="A694E8" w:themeColor="accent5" w:themeTint="BF"/>
        <w:insideV w:val="single" w:sz="8" w:space="0" w:color="A694E8" w:themeColor="accent5" w:themeTint="BF"/>
      </w:tblBorders>
    </w:tblPr>
    <w:tcPr>
      <w:shd w:val="clear" w:color="auto" w:fill="E1DBF7" w:themeFill="accent5" w:themeFillTint="3F"/>
    </w:tcPr>
    <w:tblStylePr w:type="firstRow">
      <w:rPr>
        <w:b/>
        <w:bCs/>
      </w:rPr>
    </w:tblStylePr>
    <w:tblStylePr w:type="lastRow">
      <w:rPr>
        <w:b/>
        <w:bCs/>
      </w:rPr>
      <w:tblPr/>
      <w:tcPr>
        <w:tcBorders>
          <w:top w:val="single" w:sz="18" w:space="0" w:color="A694E8" w:themeColor="accent5" w:themeTint="BF"/>
        </w:tcBorders>
      </w:tcPr>
    </w:tblStylePr>
    <w:tblStylePr w:type="firstCol">
      <w:rPr>
        <w:b/>
        <w:bCs/>
      </w:rPr>
    </w:tblStylePr>
    <w:tblStylePr w:type="lastCol">
      <w:rPr>
        <w:b/>
        <w:bCs/>
      </w:rPr>
    </w:tblStylePr>
    <w:tblStylePr w:type="band1Vert">
      <w:tblPr/>
      <w:tcPr>
        <w:shd w:val="clear" w:color="auto" w:fill="C4B8F0" w:themeFill="accent5" w:themeFillTint="7F"/>
      </w:tcPr>
    </w:tblStylePr>
    <w:tblStylePr w:type="band1Horz">
      <w:tblPr/>
      <w:tcPr>
        <w:shd w:val="clear" w:color="auto" w:fill="C4B8F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insideV w:val="single" w:sz="8" w:space="0" w:color="DF7596" w:themeColor="accent6" w:themeTint="BF"/>
      </w:tblBorders>
    </w:tblPr>
    <w:tcPr>
      <w:shd w:val="clear" w:color="auto" w:fill="F4D1DC" w:themeFill="accent6" w:themeFillTint="3F"/>
    </w:tcPr>
    <w:tblStylePr w:type="firstRow">
      <w:rPr>
        <w:b/>
        <w:bCs/>
      </w:rPr>
    </w:tblStylePr>
    <w:tblStylePr w:type="lastRow">
      <w:rPr>
        <w:b/>
        <w:bCs/>
      </w:rPr>
      <w:tblPr/>
      <w:tcPr>
        <w:tcBorders>
          <w:top w:val="single" w:sz="18" w:space="0" w:color="DF7596" w:themeColor="accent6" w:themeTint="BF"/>
        </w:tcBorders>
      </w:tcPr>
    </w:tblStylePr>
    <w:tblStylePr w:type="firstCol">
      <w:rPr>
        <w:b/>
        <w:bCs/>
      </w:rPr>
    </w:tblStylePr>
    <w:tblStylePr w:type="lastCol">
      <w:rPr>
        <w:b/>
        <w:bCs/>
      </w:r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insideH w:val="single" w:sz="8" w:space="0" w:color="E32D91" w:themeColor="accent1"/>
        <w:insideV w:val="single" w:sz="8" w:space="0" w:color="E32D91" w:themeColor="accent1"/>
      </w:tblBorders>
    </w:tblPr>
    <w:tcPr>
      <w:shd w:val="clear" w:color="auto" w:fill="F8CAE3" w:themeFill="accent1" w:themeFillTint="3F"/>
    </w:tcPr>
    <w:tblStylePr w:type="firstRow">
      <w:rPr>
        <w:b/>
        <w:bCs/>
        <w:color w:val="000000" w:themeColor="text1"/>
      </w:rPr>
      <w:tblPr/>
      <w:tcPr>
        <w:shd w:val="clear" w:color="auto" w:fill="FCEAF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4E8" w:themeFill="accent1" w:themeFillTint="33"/>
      </w:tcPr>
    </w:tblStylePr>
    <w:tblStylePr w:type="band1Vert">
      <w:tblPr/>
      <w:tcPr>
        <w:shd w:val="clear" w:color="auto" w:fill="F196C8" w:themeFill="accent1" w:themeFillTint="7F"/>
      </w:tcPr>
    </w:tblStylePr>
    <w:tblStylePr w:type="band1Horz">
      <w:tblPr/>
      <w:tcPr>
        <w:tcBorders>
          <w:insideH w:val="single" w:sz="6" w:space="0" w:color="E32D91" w:themeColor="accent1"/>
          <w:insideV w:val="single" w:sz="6" w:space="0" w:color="E32D91" w:themeColor="accent1"/>
        </w:tcBorders>
        <w:shd w:val="clear" w:color="auto" w:fill="F196C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insideH w:val="single" w:sz="8" w:space="0" w:color="C830CC" w:themeColor="accent2"/>
        <w:insideV w:val="single" w:sz="8" w:space="0" w:color="C830CC" w:themeColor="accent2"/>
      </w:tblBorders>
    </w:tblPr>
    <w:tcPr>
      <w:shd w:val="clear" w:color="auto" w:fill="F1CBF2" w:themeFill="accent2" w:themeFillTint="3F"/>
    </w:tcPr>
    <w:tblStylePr w:type="firstRow">
      <w:rPr>
        <w:b/>
        <w:bCs/>
        <w:color w:val="000000" w:themeColor="text1"/>
      </w:rPr>
      <w:tblPr/>
      <w:tcPr>
        <w:shd w:val="clear" w:color="auto" w:fill="F9EA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5F5" w:themeFill="accent2" w:themeFillTint="33"/>
      </w:tcPr>
    </w:tblStylePr>
    <w:tblStylePr w:type="band1Vert">
      <w:tblPr/>
      <w:tcPr>
        <w:shd w:val="clear" w:color="auto" w:fill="E496E6" w:themeFill="accent2" w:themeFillTint="7F"/>
      </w:tcPr>
    </w:tblStylePr>
    <w:tblStylePr w:type="band1Horz">
      <w:tblPr/>
      <w:tcPr>
        <w:tcBorders>
          <w:insideH w:val="single" w:sz="6" w:space="0" w:color="C830CC" w:themeColor="accent2"/>
          <w:insideV w:val="single" w:sz="6" w:space="0" w:color="C830CC" w:themeColor="accent2"/>
        </w:tcBorders>
        <w:shd w:val="clear" w:color="auto" w:fill="E496E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insideH w:val="single" w:sz="8" w:space="0" w:color="4EA6DC" w:themeColor="accent3"/>
        <w:insideV w:val="single" w:sz="8" w:space="0" w:color="4EA6DC" w:themeColor="accent3"/>
      </w:tblBorders>
    </w:tblPr>
    <w:tcPr>
      <w:shd w:val="clear" w:color="auto" w:fill="D3E8F6" w:themeFill="accent3" w:themeFillTint="3F"/>
    </w:tcPr>
    <w:tblStylePr w:type="firstRow">
      <w:rPr>
        <w:b/>
        <w:bCs/>
        <w:color w:val="000000" w:themeColor="text1"/>
      </w:rPr>
      <w:tblPr/>
      <w:tcPr>
        <w:shd w:val="clear" w:color="auto" w:fill="EDF6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DF8" w:themeFill="accent3" w:themeFillTint="33"/>
      </w:tcPr>
    </w:tblStylePr>
    <w:tblStylePr w:type="band1Vert">
      <w:tblPr/>
      <w:tcPr>
        <w:shd w:val="clear" w:color="auto" w:fill="A6D2ED" w:themeFill="accent3" w:themeFillTint="7F"/>
      </w:tcPr>
    </w:tblStylePr>
    <w:tblStylePr w:type="band1Horz">
      <w:tblPr/>
      <w:tcPr>
        <w:tcBorders>
          <w:insideH w:val="single" w:sz="6" w:space="0" w:color="4EA6DC" w:themeColor="accent3"/>
          <w:insideV w:val="single" w:sz="6" w:space="0" w:color="4EA6DC" w:themeColor="accent3"/>
        </w:tcBorders>
        <w:shd w:val="clear" w:color="auto" w:fill="A6D2E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insideH w:val="single" w:sz="8" w:space="0" w:color="4775E7" w:themeColor="accent4"/>
        <w:insideV w:val="single" w:sz="8" w:space="0" w:color="4775E7" w:themeColor="accent4"/>
      </w:tblBorders>
    </w:tblPr>
    <w:tcPr>
      <w:shd w:val="clear" w:color="auto" w:fill="D1DCF9" w:themeFill="accent4" w:themeFillTint="3F"/>
    </w:tcPr>
    <w:tblStylePr w:type="firstRow">
      <w:rPr>
        <w:b/>
        <w:bCs/>
        <w:color w:val="000000" w:themeColor="text1"/>
      </w:rPr>
      <w:tblPr/>
      <w:tcPr>
        <w:shd w:val="clear" w:color="auto" w:fill="ECF1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A" w:themeFill="accent4" w:themeFillTint="33"/>
      </w:tcPr>
    </w:tblStylePr>
    <w:tblStylePr w:type="band1Vert">
      <w:tblPr/>
      <w:tcPr>
        <w:shd w:val="clear" w:color="auto" w:fill="A3BAF3" w:themeFill="accent4" w:themeFillTint="7F"/>
      </w:tcPr>
    </w:tblStylePr>
    <w:tblStylePr w:type="band1Horz">
      <w:tblPr/>
      <w:tcPr>
        <w:tcBorders>
          <w:insideH w:val="single" w:sz="6" w:space="0" w:color="4775E7" w:themeColor="accent4"/>
          <w:insideV w:val="single" w:sz="6" w:space="0" w:color="4775E7" w:themeColor="accent4"/>
        </w:tcBorders>
        <w:shd w:val="clear" w:color="auto" w:fill="A3BAF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insideH w:val="single" w:sz="8" w:space="0" w:color="8971E1" w:themeColor="accent5"/>
        <w:insideV w:val="single" w:sz="8" w:space="0" w:color="8971E1" w:themeColor="accent5"/>
      </w:tblBorders>
    </w:tblPr>
    <w:tcPr>
      <w:shd w:val="clear" w:color="auto" w:fill="E1DBF7" w:themeFill="accent5" w:themeFillTint="3F"/>
    </w:tcPr>
    <w:tblStylePr w:type="firstRow">
      <w:rPr>
        <w:b/>
        <w:bCs/>
        <w:color w:val="000000" w:themeColor="text1"/>
      </w:rPr>
      <w:tblPr/>
      <w:tcPr>
        <w:shd w:val="clear" w:color="auto" w:fill="F3F0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E2F9" w:themeFill="accent5" w:themeFillTint="33"/>
      </w:tcPr>
    </w:tblStylePr>
    <w:tblStylePr w:type="band1Vert">
      <w:tblPr/>
      <w:tcPr>
        <w:shd w:val="clear" w:color="auto" w:fill="C4B8F0" w:themeFill="accent5" w:themeFillTint="7F"/>
      </w:tcPr>
    </w:tblStylePr>
    <w:tblStylePr w:type="band1Horz">
      <w:tblPr/>
      <w:tcPr>
        <w:tcBorders>
          <w:insideH w:val="single" w:sz="6" w:space="0" w:color="8971E1" w:themeColor="accent5"/>
          <w:insideV w:val="single" w:sz="6" w:space="0" w:color="8971E1" w:themeColor="accent5"/>
        </w:tcBorders>
        <w:shd w:val="clear" w:color="auto" w:fill="C4B8F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cPr>
      <w:shd w:val="clear" w:color="auto" w:fill="F4D1DC" w:themeFill="accent6" w:themeFillTint="3F"/>
    </w:tcPr>
    <w:tblStylePr w:type="firstRow">
      <w:rPr>
        <w:b/>
        <w:bCs/>
        <w:color w:val="000000" w:themeColor="text1"/>
      </w:rPr>
      <w:tblPr/>
      <w:tcPr>
        <w:shd w:val="clear" w:color="auto" w:fill="FBEC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AE2" w:themeFill="accent6" w:themeFillTint="33"/>
      </w:tcPr>
    </w:tblStylePr>
    <w:tblStylePr w:type="band1Vert">
      <w:tblPr/>
      <w:tcPr>
        <w:shd w:val="clear" w:color="auto" w:fill="EAA3B9" w:themeFill="accent6" w:themeFillTint="7F"/>
      </w:tcPr>
    </w:tblStylePr>
    <w:tblStylePr w:type="band1Horz">
      <w:tblPr/>
      <w:tcPr>
        <w:tcBorders>
          <w:insideH w:val="single" w:sz="6" w:space="0" w:color="D54773" w:themeColor="accent6"/>
          <w:insideV w:val="single" w:sz="6" w:space="0" w:color="D54773" w:themeColor="accent6"/>
        </w:tcBorders>
        <w:shd w:val="clear" w:color="auto" w:fill="EAA3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AE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2D9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2D9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2D9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2D9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96C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96C8"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CB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30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30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30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30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96E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96E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8F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6D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6D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6D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6D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2E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2E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775E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775E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775E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775E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AF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BAF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DBF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971E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971E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971E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971E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B8F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B8F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1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477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477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A3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A3B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32D9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104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186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186D" w:themeFill="accent1" w:themeFillShade="BF"/>
      </w:tcPr>
    </w:tblStylePr>
    <w:tblStylePr w:type="band1Vert">
      <w:tblPr/>
      <w:tcPr>
        <w:tcBorders>
          <w:top w:val="nil"/>
          <w:left w:val="nil"/>
          <w:bottom w:val="nil"/>
          <w:right w:val="nil"/>
          <w:insideH w:val="nil"/>
          <w:insideV w:val="nil"/>
        </w:tcBorders>
        <w:shd w:val="clear" w:color="auto" w:fill="B3186D" w:themeFill="accent1" w:themeFillShade="BF"/>
      </w:tcPr>
    </w:tblStylePr>
    <w:tblStylePr w:type="band1Horz">
      <w:tblPr/>
      <w:tcPr>
        <w:tcBorders>
          <w:top w:val="nil"/>
          <w:left w:val="nil"/>
          <w:bottom w:val="nil"/>
          <w:right w:val="nil"/>
          <w:insideH w:val="nil"/>
          <w:insideV w:val="nil"/>
        </w:tcBorders>
        <w:shd w:val="clear" w:color="auto" w:fill="B3186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830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18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24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2498" w:themeFill="accent2" w:themeFillShade="BF"/>
      </w:tcPr>
    </w:tblStylePr>
    <w:tblStylePr w:type="band1Vert">
      <w:tblPr/>
      <w:tcPr>
        <w:tcBorders>
          <w:top w:val="nil"/>
          <w:left w:val="nil"/>
          <w:bottom w:val="nil"/>
          <w:right w:val="nil"/>
          <w:insideH w:val="nil"/>
          <w:insideV w:val="nil"/>
        </w:tcBorders>
        <w:shd w:val="clear" w:color="auto" w:fill="952498" w:themeFill="accent2" w:themeFillShade="BF"/>
      </w:tcPr>
    </w:tblStylePr>
    <w:tblStylePr w:type="band1Horz">
      <w:tblPr/>
      <w:tcPr>
        <w:tcBorders>
          <w:top w:val="nil"/>
          <w:left w:val="nil"/>
          <w:bottom w:val="nil"/>
          <w:right w:val="nil"/>
          <w:insideH w:val="nil"/>
          <w:insideV w:val="nil"/>
        </w:tcBorders>
        <w:shd w:val="clear" w:color="auto" w:fill="95249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4EA6D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6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581B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581BA" w:themeFill="accent3" w:themeFillShade="BF"/>
      </w:tcPr>
    </w:tblStylePr>
    <w:tblStylePr w:type="band1Vert">
      <w:tblPr/>
      <w:tcPr>
        <w:tcBorders>
          <w:top w:val="nil"/>
          <w:left w:val="nil"/>
          <w:bottom w:val="nil"/>
          <w:right w:val="nil"/>
          <w:insideH w:val="nil"/>
          <w:insideV w:val="nil"/>
        </w:tcBorders>
        <w:shd w:val="clear" w:color="auto" w:fill="2581BA" w:themeFill="accent3" w:themeFillShade="BF"/>
      </w:tcPr>
    </w:tblStylePr>
    <w:tblStylePr w:type="band1Horz">
      <w:tblPr/>
      <w:tcPr>
        <w:tcBorders>
          <w:top w:val="nil"/>
          <w:left w:val="nil"/>
          <w:bottom w:val="nil"/>
          <w:right w:val="nil"/>
          <w:insideH w:val="nil"/>
          <w:insideV w:val="nil"/>
        </w:tcBorders>
        <w:shd w:val="clear" w:color="auto" w:fill="2581B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775E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1328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A4BC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A4BC7" w:themeFill="accent4" w:themeFillShade="BF"/>
      </w:tcPr>
    </w:tblStylePr>
    <w:tblStylePr w:type="band1Vert">
      <w:tblPr/>
      <w:tcPr>
        <w:tcBorders>
          <w:top w:val="nil"/>
          <w:left w:val="nil"/>
          <w:bottom w:val="nil"/>
          <w:right w:val="nil"/>
          <w:insideH w:val="nil"/>
          <w:insideV w:val="nil"/>
        </w:tcBorders>
        <w:shd w:val="clear" w:color="auto" w:fill="1A4BC7" w:themeFill="accent4" w:themeFillShade="BF"/>
      </w:tcPr>
    </w:tblStylePr>
    <w:tblStylePr w:type="band1Horz">
      <w:tblPr/>
      <w:tcPr>
        <w:tcBorders>
          <w:top w:val="nil"/>
          <w:left w:val="nil"/>
          <w:bottom w:val="nil"/>
          <w:right w:val="nil"/>
          <w:insideH w:val="nil"/>
          <w:insideV w:val="nil"/>
        </w:tcBorders>
        <w:shd w:val="clear" w:color="auto" w:fill="1A4BC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971E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1D8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F2CD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F2CD0" w:themeFill="accent5" w:themeFillShade="BF"/>
      </w:tcPr>
    </w:tblStylePr>
    <w:tblStylePr w:type="band1Vert">
      <w:tblPr/>
      <w:tcPr>
        <w:tcBorders>
          <w:top w:val="nil"/>
          <w:left w:val="nil"/>
          <w:bottom w:val="nil"/>
          <w:right w:val="nil"/>
          <w:insideH w:val="nil"/>
          <w:insideV w:val="nil"/>
        </w:tcBorders>
        <w:shd w:val="clear" w:color="auto" w:fill="4F2CD0" w:themeFill="accent5" w:themeFillShade="BF"/>
      </w:tcPr>
    </w:tblStylePr>
    <w:tblStylePr w:type="band1Horz">
      <w:tblPr/>
      <w:tcPr>
        <w:tcBorders>
          <w:top w:val="nil"/>
          <w:left w:val="nil"/>
          <w:bottom w:val="nil"/>
          <w:right w:val="nil"/>
          <w:insideH w:val="nil"/>
          <w:insideV w:val="nil"/>
        </w:tcBorders>
        <w:shd w:val="clear" w:color="auto" w:fill="4F2CD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D5477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1A3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D275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D2750" w:themeFill="accent6" w:themeFillShade="BF"/>
      </w:tcPr>
    </w:tblStylePr>
    <w:tblStylePr w:type="band1Vert">
      <w:tblPr/>
      <w:tcPr>
        <w:tcBorders>
          <w:top w:val="nil"/>
          <w:left w:val="nil"/>
          <w:bottom w:val="nil"/>
          <w:right w:val="nil"/>
          <w:insideH w:val="nil"/>
          <w:insideV w:val="nil"/>
        </w:tcBorders>
        <w:shd w:val="clear" w:color="auto" w:fill="AD2750" w:themeFill="accent6" w:themeFillShade="BF"/>
      </w:tcPr>
    </w:tblStylePr>
    <w:tblStylePr w:type="band1Horz">
      <w:tblPr/>
      <w:tcPr>
        <w:tcBorders>
          <w:top w:val="nil"/>
          <w:left w:val="nil"/>
          <w:bottom w:val="nil"/>
          <w:right w:val="nil"/>
          <w:insideH w:val="nil"/>
          <w:insideV w:val="nil"/>
        </w:tcBorders>
        <w:shd w:val="clear" w:color="auto" w:fill="AD2750"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830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830CC" w:themeColor="accent2"/>
        <w:left w:val="single" w:sz="4" w:space="0" w:color="E32D91" w:themeColor="accent1"/>
        <w:bottom w:val="single" w:sz="4" w:space="0" w:color="E32D91" w:themeColor="accent1"/>
        <w:right w:val="single" w:sz="4" w:space="0" w:color="E32D91" w:themeColor="accent1"/>
        <w:insideH w:val="single" w:sz="4" w:space="0" w:color="FFFFFF" w:themeColor="background1"/>
        <w:insideV w:val="single" w:sz="4" w:space="0" w:color="FFFFFF" w:themeColor="background1"/>
      </w:tblBorders>
    </w:tblPr>
    <w:tcPr>
      <w:shd w:val="clear" w:color="auto" w:fill="FCEAF4" w:themeFill="accent1" w:themeFillTint="19"/>
    </w:tcPr>
    <w:tblStylePr w:type="firstRow">
      <w:rPr>
        <w:b/>
        <w:bCs/>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1357" w:themeFill="accent1" w:themeFillShade="99"/>
      </w:tcPr>
    </w:tblStylePr>
    <w:tblStylePr w:type="firstCol">
      <w:rPr>
        <w:color w:val="FFFFFF" w:themeColor="background1"/>
      </w:rPr>
      <w:tblPr/>
      <w:tcPr>
        <w:tcBorders>
          <w:top w:val="nil"/>
          <w:left w:val="nil"/>
          <w:bottom w:val="nil"/>
          <w:right w:val="nil"/>
          <w:insideH w:val="single" w:sz="4" w:space="0" w:color="8F1357" w:themeColor="accent1" w:themeShade="99"/>
          <w:insideV w:val="nil"/>
        </w:tcBorders>
        <w:shd w:val="clear" w:color="auto" w:fill="8F135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1357" w:themeFill="accent1" w:themeFillShade="99"/>
      </w:tcPr>
    </w:tblStylePr>
    <w:tblStylePr w:type="band1Vert">
      <w:tblPr/>
      <w:tcPr>
        <w:shd w:val="clear" w:color="auto" w:fill="F3AAD2" w:themeFill="accent1" w:themeFillTint="66"/>
      </w:tcPr>
    </w:tblStylePr>
    <w:tblStylePr w:type="band1Horz">
      <w:tblPr/>
      <w:tcPr>
        <w:shd w:val="clear" w:color="auto" w:fill="F196C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830CC" w:themeColor="accent2"/>
        <w:left w:val="single" w:sz="4" w:space="0" w:color="C830CC" w:themeColor="accent2"/>
        <w:bottom w:val="single" w:sz="4" w:space="0" w:color="C830CC" w:themeColor="accent2"/>
        <w:right w:val="single" w:sz="4" w:space="0" w:color="C830CC" w:themeColor="accent2"/>
        <w:insideH w:val="single" w:sz="4" w:space="0" w:color="FFFFFF" w:themeColor="background1"/>
        <w:insideV w:val="single" w:sz="4" w:space="0" w:color="FFFFFF" w:themeColor="background1"/>
      </w:tblBorders>
    </w:tblPr>
    <w:tcPr>
      <w:shd w:val="clear" w:color="auto" w:fill="F9EAFA" w:themeFill="accent2" w:themeFillTint="19"/>
    </w:tcPr>
    <w:tblStylePr w:type="firstRow">
      <w:rPr>
        <w:b/>
        <w:bCs/>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1C7A" w:themeFill="accent2" w:themeFillShade="99"/>
      </w:tcPr>
    </w:tblStylePr>
    <w:tblStylePr w:type="firstCol">
      <w:rPr>
        <w:color w:val="FFFFFF" w:themeColor="background1"/>
      </w:rPr>
      <w:tblPr/>
      <w:tcPr>
        <w:tcBorders>
          <w:top w:val="nil"/>
          <w:left w:val="nil"/>
          <w:bottom w:val="nil"/>
          <w:right w:val="nil"/>
          <w:insideH w:val="single" w:sz="4" w:space="0" w:color="771C7A" w:themeColor="accent2" w:themeShade="99"/>
          <w:insideV w:val="nil"/>
        </w:tcBorders>
        <w:shd w:val="clear" w:color="auto" w:fill="771C7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1C7A" w:themeFill="accent2" w:themeFillShade="99"/>
      </w:tcPr>
    </w:tblStylePr>
    <w:tblStylePr w:type="band1Vert">
      <w:tblPr/>
      <w:tcPr>
        <w:shd w:val="clear" w:color="auto" w:fill="E9ABEB" w:themeFill="accent2" w:themeFillTint="66"/>
      </w:tcPr>
    </w:tblStylePr>
    <w:tblStylePr w:type="band1Horz">
      <w:tblPr/>
      <w:tcPr>
        <w:shd w:val="clear" w:color="auto" w:fill="E496E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775E7" w:themeColor="accent4"/>
        <w:left w:val="single" w:sz="4" w:space="0" w:color="4EA6DC" w:themeColor="accent3"/>
        <w:bottom w:val="single" w:sz="4" w:space="0" w:color="4EA6DC" w:themeColor="accent3"/>
        <w:right w:val="single" w:sz="4" w:space="0" w:color="4EA6DC" w:themeColor="accent3"/>
        <w:insideH w:val="single" w:sz="4" w:space="0" w:color="FFFFFF" w:themeColor="background1"/>
        <w:insideV w:val="single" w:sz="4" w:space="0" w:color="FFFFFF" w:themeColor="background1"/>
      </w:tblBorders>
    </w:tblPr>
    <w:tcPr>
      <w:shd w:val="clear" w:color="auto" w:fill="EDF6FB" w:themeFill="accent3" w:themeFillTint="19"/>
    </w:tcPr>
    <w:tblStylePr w:type="firstRow">
      <w:rPr>
        <w:b/>
        <w:bCs/>
      </w:rPr>
      <w:tblPr/>
      <w:tcPr>
        <w:tcBorders>
          <w:top w:val="nil"/>
          <w:left w:val="nil"/>
          <w:bottom w:val="single" w:sz="24" w:space="0" w:color="4775E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D6795" w:themeFill="accent3" w:themeFillShade="99"/>
      </w:tcPr>
    </w:tblStylePr>
    <w:tblStylePr w:type="firstCol">
      <w:rPr>
        <w:color w:val="FFFFFF" w:themeColor="background1"/>
      </w:rPr>
      <w:tblPr/>
      <w:tcPr>
        <w:tcBorders>
          <w:top w:val="nil"/>
          <w:left w:val="nil"/>
          <w:bottom w:val="nil"/>
          <w:right w:val="nil"/>
          <w:insideH w:val="single" w:sz="4" w:space="0" w:color="1D6795" w:themeColor="accent3" w:themeShade="99"/>
          <w:insideV w:val="nil"/>
        </w:tcBorders>
        <w:shd w:val="clear" w:color="auto" w:fill="1D679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D6795" w:themeFill="accent3" w:themeFillShade="99"/>
      </w:tcPr>
    </w:tblStylePr>
    <w:tblStylePr w:type="band1Vert">
      <w:tblPr/>
      <w:tcPr>
        <w:shd w:val="clear" w:color="auto" w:fill="B8DBF1" w:themeFill="accent3" w:themeFillTint="66"/>
      </w:tcPr>
    </w:tblStylePr>
    <w:tblStylePr w:type="band1Horz">
      <w:tblPr/>
      <w:tcPr>
        <w:shd w:val="clear" w:color="auto" w:fill="A6D2E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4EA6DC" w:themeColor="accent3"/>
        <w:left w:val="single" w:sz="4" w:space="0" w:color="4775E7" w:themeColor="accent4"/>
        <w:bottom w:val="single" w:sz="4" w:space="0" w:color="4775E7" w:themeColor="accent4"/>
        <w:right w:val="single" w:sz="4" w:space="0" w:color="4775E7" w:themeColor="accent4"/>
        <w:insideH w:val="single" w:sz="4" w:space="0" w:color="FFFFFF" w:themeColor="background1"/>
        <w:insideV w:val="single" w:sz="4" w:space="0" w:color="FFFFFF" w:themeColor="background1"/>
      </w:tblBorders>
    </w:tblPr>
    <w:tcPr>
      <w:shd w:val="clear" w:color="auto" w:fill="ECF1FC" w:themeFill="accent4" w:themeFillTint="19"/>
    </w:tcPr>
    <w:tblStylePr w:type="firstRow">
      <w:rPr>
        <w:b/>
        <w:bCs/>
      </w:rPr>
      <w:tblPr/>
      <w:tcPr>
        <w:tcBorders>
          <w:top w:val="nil"/>
          <w:left w:val="nil"/>
          <w:bottom w:val="single" w:sz="24" w:space="0" w:color="4EA6D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53CA0" w:themeFill="accent4" w:themeFillShade="99"/>
      </w:tcPr>
    </w:tblStylePr>
    <w:tblStylePr w:type="firstCol">
      <w:rPr>
        <w:color w:val="FFFFFF" w:themeColor="background1"/>
      </w:rPr>
      <w:tblPr/>
      <w:tcPr>
        <w:tcBorders>
          <w:top w:val="nil"/>
          <w:left w:val="nil"/>
          <w:bottom w:val="nil"/>
          <w:right w:val="nil"/>
          <w:insideH w:val="single" w:sz="4" w:space="0" w:color="153CA0" w:themeColor="accent4" w:themeShade="99"/>
          <w:insideV w:val="nil"/>
        </w:tcBorders>
        <w:shd w:val="clear" w:color="auto" w:fill="153CA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53CA0" w:themeFill="accent4" w:themeFillShade="99"/>
      </w:tcPr>
    </w:tblStylePr>
    <w:tblStylePr w:type="band1Vert">
      <w:tblPr/>
      <w:tcPr>
        <w:shd w:val="clear" w:color="auto" w:fill="B5C7F5" w:themeFill="accent4" w:themeFillTint="66"/>
      </w:tcPr>
    </w:tblStylePr>
    <w:tblStylePr w:type="band1Horz">
      <w:tblPr/>
      <w:tcPr>
        <w:shd w:val="clear" w:color="auto" w:fill="A3BAF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D54773" w:themeColor="accent6"/>
        <w:left w:val="single" w:sz="4" w:space="0" w:color="8971E1" w:themeColor="accent5"/>
        <w:bottom w:val="single" w:sz="4" w:space="0" w:color="8971E1" w:themeColor="accent5"/>
        <w:right w:val="single" w:sz="4" w:space="0" w:color="8971E1" w:themeColor="accent5"/>
        <w:insideH w:val="single" w:sz="4" w:space="0" w:color="FFFFFF" w:themeColor="background1"/>
        <w:insideV w:val="single" w:sz="4" w:space="0" w:color="FFFFFF" w:themeColor="background1"/>
      </w:tblBorders>
    </w:tblPr>
    <w:tcPr>
      <w:shd w:val="clear" w:color="auto" w:fill="F3F0FC" w:themeFill="accent5" w:themeFillTint="19"/>
    </w:tcPr>
    <w:tblStylePr w:type="firstRow">
      <w:rPr>
        <w:b/>
        <w:bCs/>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23A7" w:themeFill="accent5" w:themeFillShade="99"/>
      </w:tcPr>
    </w:tblStylePr>
    <w:tblStylePr w:type="firstCol">
      <w:rPr>
        <w:color w:val="FFFFFF" w:themeColor="background1"/>
      </w:rPr>
      <w:tblPr/>
      <w:tcPr>
        <w:tcBorders>
          <w:top w:val="nil"/>
          <w:left w:val="nil"/>
          <w:bottom w:val="nil"/>
          <w:right w:val="nil"/>
          <w:insideH w:val="single" w:sz="4" w:space="0" w:color="3F23A7" w:themeColor="accent5" w:themeShade="99"/>
          <w:insideV w:val="nil"/>
        </w:tcBorders>
        <w:shd w:val="clear" w:color="auto" w:fill="3F23A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23A7" w:themeFill="accent5" w:themeFillShade="99"/>
      </w:tcPr>
    </w:tblStylePr>
    <w:tblStylePr w:type="band1Vert">
      <w:tblPr/>
      <w:tcPr>
        <w:shd w:val="clear" w:color="auto" w:fill="CFC6F3" w:themeFill="accent5" w:themeFillTint="66"/>
      </w:tcPr>
    </w:tblStylePr>
    <w:tblStylePr w:type="band1Horz">
      <w:tblPr/>
      <w:tcPr>
        <w:shd w:val="clear" w:color="auto" w:fill="C4B8F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971E1" w:themeColor="accent5"/>
        <w:left w:val="single" w:sz="4" w:space="0" w:color="D54773" w:themeColor="accent6"/>
        <w:bottom w:val="single" w:sz="4" w:space="0" w:color="D54773" w:themeColor="accent6"/>
        <w:right w:val="single" w:sz="4" w:space="0" w:color="D54773" w:themeColor="accent6"/>
        <w:insideH w:val="single" w:sz="4" w:space="0" w:color="FFFFFF" w:themeColor="background1"/>
        <w:insideV w:val="single" w:sz="4" w:space="0" w:color="FFFFFF" w:themeColor="background1"/>
      </w:tblBorders>
    </w:tblPr>
    <w:tcPr>
      <w:shd w:val="clear" w:color="auto" w:fill="FBECF1" w:themeFill="accent6" w:themeFillTint="19"/>
    </w:tcPr>
    <w:tblStylePr w:type="firstRow">
      <w:rPr>
        <w:b/>
        <w:bCs/>
      </w:rPr>
      <w:tblPr/>
      <w:tcPr>
        <w:tcBorders>
          <w:top w:val="nil"/>
          <w:left w:val="nil"/>
          <w:bottom w:val="single" w:sz="24" w:space="0" w:color="8971E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1F40" w:themeFill="accent6" w:themeFillShade="99"/>
      </w:tcPr>
    </w:tblStylePr>
    <w:tblStylePr w:type="firstCol">
      <w:rPr>
        <w:color w:val="FFFFFF" w:themeColor="background1"/>
      </w:rPr>
      <w:tblPr/>
      <w:tcPr>
        <w:tcBorders>
          <w:top w:val="nil"/>
          <w:left w:val="nil"/>
          <w:bottom w:val="nil"/>
          <w:right w:val="nil"/>
          <w:insideH w:val="single" w:sz="4" w:space="0" w:color="8A1F40" w:themeColor="accent6" w:themeShade="99"/>
          <w:insideV w:val="nil"/>
        </w:tcBorders>
        <w:shd w:val="clear" w:color="auto" w:fill="8A1F4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A1F40" w:themeFill="accent6" w:themeFillShade="99"/>
      </w:tcPr>
    </w:tblStylePr>
    <w:tblStylePr w:type="band1Vert">
      <w:tblPr/>
      <w:tcPr>
        <w:shd w:val="clear" w:color="auto" w:fill="EEB5C6" w:themeFill="accent6" w:themeFillTint="66"/>
      </w:tcPr>
    </w:tblStylePr>
    <w:tblStylePr w:type="band1Horz">
      <w:tblPr/>
      <w:tcPr>
        <w:shd w:val="clear" w:color="auto" w:fill="EAA3B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26A2" w:themeFill="accent2" w:themeFillShade="CC"/>
      </w:tcPr>
    </w:tblStylePr>
    <w:tblStylePr w:type="lastRow">
      <w:rPr>
        <w:b/>
        <w:bCs/>
        <w:color w:val="9F26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AF4" w:themeFill="accent1" w:themeFillTint="19"/>
    </w:tcPr>
    <w:tblStylePr w:type="firstRow">
      <w:rPr>
        <w:b/>
        <w:bCs/>
        <w:color w:val="FFFFFF" w:themeColor="background1"/>
      </w:rPr>
      <w:tblPr/>
      <w:tcPr>
        <w:tcBorders>
          <w:bottom w:val="single" w:sz="12" w:space="0" w:color="FFFFFF" w:themeColor="background1"/>
        </w:tcBorders>
        <w:shd w:val="clear" w:color="auto" w:fill="9F26A2" w:themeFill="accent2" w:themeFillShade="CC"/>
      </w:tcPr>
    </w:tblStylePr>
    <w:tblStylePr w:type="lastRow">
      <w:rPr>
        <w:b/>
        <w:bCs/>
        <w:color w:val="9F26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AE3" w:themeFill="accent1" w:themeFillTint="3F"/>
      </w:tcPr>
    </w:tblStylePr>
    <w:tblStylePr w:type="band1Horz">
      <w:tblPr/>
      <w:tcPr>
        <w:shd w:val="clear" w:color="auto" w:fill="F9D4E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9EAFA" w:themeFill="accent2" w:themeFillTint="19"/>
    </w:tcPr>
    <w:tblStylePr w:type="firstRow">
      <w:rPr>
        <w:b/>
        <w:bCs/>
        <w:color w:val="FFFFFF" w:themeColor="background1"/>
      </w:rPr>
      <w:tblPr/>
      <w:tcPr>
        <w:tcBorders>
          <w:bottom w:val="single" w:sz="12" w:space="0" w:color="FFFFFF" w:themeColor="background1"/>
        </w:tcBorders>
        <w:shd w:val="clear" w:color="auto" w:fill="9F26A2" w:themeFill="accent2" w:themeFillShade="CC"/>
      </w:tcPr>
    </w:tblStylePr>
    <w:tblStylePr w:type="lastRow">
      <w:rPr>
        <w:b/>
        <w:bCs/>
        <w:color w:val="9F26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CBF2" w:themeFill="accent2" w:themeFillTint="3F"/>
      </w:tcPr>
    </w:tblStylePr>
    <w:tblStylePr w:type="band1Horz">
      <w:tblPr/>
      <w:tcPr>
        <w:shd w:val="clear" w:color="auto" w:fill="F4D5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DF6FB" w:themeFill="accent3" w:themeFillTint="19"/>
    </w:tcPr>
    <w:tblStylePr w:type="firstRow">
      <w:rPr>
        <w:b/>
        <w:bCs/>
        <w:color w:val="FFFFFF" w:themeColor="background1"/>
      </w:rPr>
      <w:tblPr/>
      <w:tcPr>
        <w:tcBorders>
          <w:bottom w:val="single" w:sz="12" w:space="0" w:color="FFFFFF" w:themeColor="background1"/>
        </w:tcBorders>
        <w:shd w:val="clear" w:color="auto" w:fill="1C51D5" w:themeFill="accent4" w:themeFillShade="CC"/>
      </w:tcPr>
    </w:tblStylePr>
    <w:tblStylePr w:type="lastRow">
      <w:rPr>
        <w:b/>
        <w:bCs/>
        <w:color w:val="1C51D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8F6" w:themeFill="accent3" w:themeFillTint="3F"/>
      </w:tcPr>
    </w:tblStylePr>
    <w:tblStylePr w:type="band1Horz">
      <w:tblPr/>
      <w:tcPr>
        <w:shd w:val="clear" w:color="auto" w:fill="DBEDF8"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1FC" w:themeFill="accent4" w:themeFillTint="19"/>
    </w:tcPr>
    <w:tblStylePr w:type="firstRow">
      <w:rPr>
        <w:b/>
        <w:bCs/>
        <w:color w:val="FFFFFF" w:themeColor="background1"/>
      </w:rPr>
      <w:tblPr/>
      <w:tcPr>
        <w:tcBorders>
          <w:bottom w:val="single" w:sz="12" w:space="0" w:color="FFFFFF" w:themeColor="background1"/>
        </w:tcBorders>
        <w:shd w:val="clear" w:color="auto" w:fill="278AC6" w:themeFill="accent3" w:themeFillShade="CC"/>
      </w:tcPr>
    </w:tblStylePr>
    <w:tblStylePr w:type="lastRow">
      <w:rPr>
        <w:b/>
        <w:bCs/>
        <w:color w:val="278AC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9" w:themeFill="accent4" w:themeFillTint="3F"/>
      </w:tcPr>
    </w:tblStylePr>
    <w:tblStylePr w:type="band1Horz">
      <w:tblPr/>
      <w:tcPr>
        <w:shd w:val="clear" w:color="auto" w:fill="DAE3F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3F0FC" w:themeFill="accent5" w:themeFillTint="19"/>
    </w:tcPr>
    <w:tblStylePr w:type="firstRow">
      <w:rPr>
        <w:b/>
        <w:bCs/>
        <w:color w:val="FFFFFF" w:themeColor="background1"/>
      </w:rPr>
      <w:tblPr/>
      <w:tcPr>
        <w:tcBorders>
          <w:bottom w:val="single" w:sz="12" w:space="0" w:color="FFFFFF" w:themeColor="background1"/>
        </w:tcBorders>
        <w:shd w:val="clear" w:color="auto" w:fill="B82A56" w:themeFill="accent6" w:themeFillShade="CC"/>
      </w:tcPr>
    </w:tblStylePr>
    <w:tblStylePr w:type="lastRow">
      <w:rPr>
        <w:b/>
        <w:bCs/>
        <w:color w:val="B82A5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DBF7" w:themeFill="accent5" w:themeFillTint="3F"/>
      </w:tcPr>
    </w:tblStylePr>
    <w:tblStylePr w:type="band1Horz">
      <w:tblPr/>
      <w:tcPr>
        <w:shd w:val="clear" w:color="auto" w:fill="E7E2F9"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BECF1" w:themeFill="accent6" w:themeFillTint="19"/>
    </w:tcPr>
    <w:tblStylePr w:type="firstRow">
      <w:rPr>
        <w:b/>
        <w:bCs/>
        <w:color w:val="FFFFFF" w:themeColor="background1"/>
      </w:rPr>
      <w:tblPr/>
      <w:tcPr>
        <w:tcBorders>
          <w:bottom w:val="single" w:sz="12" w:space="0" w:color="FFFFFF" w:themeColor="background1"/>
        </w:tcBorders>
        <w:shd w:val="clear" w:color="auto" w:fill="5A39D5" w:themeFill="accent5" w:themeFillShade="CC"/>
      </w:tcPr>
    </w:tblStylePr>
    <w:tblStylePr w:type="lastRow">
      <w:rPr>
        <w:b/>
        <w:bCs/>
        <w:color w:val="5A39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1DC" w:themeFill="accent6" w:themeFillTint="3F"/>
      </w:tcPr>
    </w:tblStylePr>
    <w:tblStylePr w:type="band1Horz">
      <w:tblPr/>
      <w:tcPr>
        <w:shd w:val="clear" w:color="auto" w:fill="F6DAE2"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D4E8" w:themeFill="accent1" w:themeFillTint="33"/>
    </w:tcPr>
    <w:tblStylePr w:type="firstRow">
      <w:rPr>
        <w:b/>
        <w:bCs/>
      </w:rPr>
      <w:tblPr/>
      <w:tcPr>
        <w:shd w:val="clear" w:color="auto" w:fill="F3AAD2" w:themeFill="accent1" w:themeFillTint="66"/>
      </w:tcPr>
    </w:tblStylePr>
    <w:tblStylePr w:type="lastRow">
      <w:rPr>
        <w:b/>
        <w:bCs/>
        <w:color w:val="000000" w:themeColor="text1"/>
      </w:rPr>
      <w:tblPr/>
      <w:tcPr>
        <w:shd w:val="clear" w:color="auto" w:fill="F3AAD2" w:themeFill="accent1" w:themeFillTint="66"/>
      </w:tcPr>
    </w:tblStylePr>
    <w:tblStylePr w:type="firstCol">
      <w:rPr>
        <w:color w:val="FFFFFF" w:themeColor="background1"/>
      </w:rPr>
      <w:tblPr/>
      <w:tcPr>
        <w:shd w:val="clear" w:color="auto" w:fill="B3186D" w:themeFill="accent1" w:themeFillShade="BF"/>
      </w:tcPr>
    </w:tblStylePr>
    <w:tblStylePr w:type="lastCol">
      <w:rPr>
        <w:color w:val="FFFFFF" w:themeColor="background1"/>
      </w:rPr>
      <w:tblPr/>
      <w:tcPr>
        <w:shd w:val="clear" w:color="auto" w:fill="B3186D" w:themeFill="accent1" w:themeFillShade="BF"/>
      </w:tcPr>
    </w:tblStylePr>
    <w:tblStylePr w:type="band1Vert">
      <w:tblPr/>
      <w:tcPr>
        <w:shd w:val="clear" w:color="auto" w:fill="F196C8" w:themeFill="accent1" w:themeFillTint="7F"/>
      </w:tcPr>
    </w:tblStylePr>
    <w:tblStylePr w:type="band1Horz">
      <w:tblPr/>
      <w:tcPr>
        <w:shd w:val="clear" w:color="auto" w:fill="F196C8"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D5F5" w:themeFill="accent2" w:themeFillTint="33"/>
    </w:tcPr>
    <w:tblStylePr w:type="firstRow">
      <w:rPr>
        <w:b/>
        <w:bCs/>
      </w:rPr>
      <w:tblPr/>
      <w:tcPr>
        <w:shd w:val="clear" w:color="auto" w:fill="E9ABEB" w:themeFill="accent2" w:themeFillTint="66"/>
      </w:tcPr>
    </w:tblStylePr>
    <w:tblStylePr w:type="lastRow">
      <w:rPr>
        <w:b/>
        <w:bCs/>
        <w:color w:val="000000" w:themeColor="text1"/>
      </w:rPr>
      <w:tblPr/>
      <w:tcPr>
        <w:shd w:val="clear" w:color="auto" w:fill="E9ABEB" w:themeFill="accent2" w:themeFillTint="66"/>
      </w:tcPr>
    </w:tblStylePr>
    <w:tblStylePr w:type="firstCol">
      <w:rPr>
        <w:color w:val="FFFFFF" w:themeColor="background1"/>
      </w:rPr>
      <w:tblPr/>
      <w:tcPr>
        <w:shd w:val="clear" w:color="auto" w:fill="952498" w:themeFill="accent2" w:themeFillShade="BF"/>
      </w:tcPr>
    </w:tblStylePr>
    <w:tblStylePr w:type="lastCol">
      <w:rPr>
        <w:color w:val="FFFFFF" w:themeColor="background1"/>
      </w:rPr>
      <w:tblPr/>
      <w:tcPr>
        <w:shd w:val="clear" w:color="auto" w:fill="952498" w:themeFill="accent2" w:themeFillShade="BF"/>
      </w:tcPr>
    </w:tblStylePr>
    <w:tblStylePr w:type="band1Vert">
      <w:tblPr/>
      <w:tcPr>
        <w:shd w:val="clear" w:color="auto" w:fill="E496E6" w:themeFill="accent2" w:themeFillTint="7F"/>
      </w:tcPr>
    </w:tblStylePr>
    <w:tblStylePr w:type="band1Horz">
      <w:tblPr/>
      <w:tcPr>
        <w:shd w:val="clear" w:color="auto" w:fill="E496E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DF8" w:themeFill="accent3" w:themeFillTint="33"/>
    </w:tcPr>
    <w:tblStylePr w:type="firstRow">
      <w:rPr>
        <w:b/>
        <w:bCs/>
      </w:rPr>
      <w:tblPr/>
      <w:tcPr>
        <w:shd w:val="clear" w:color="auto" w:fill="B8DBF1" w:themeFill="accent3" w:themeFillTint="66"/>
      </w:tcPr>
    </w:tblStylePr>
    <w:tblStylePr w:type="lastRow">
      <w:rPr>
        <w:b/>
        <w:bCs/>
        <w:color w:val="000000" w:themeColor="text1"/>
      </w:rPr>
      <w:tblPr/>
      <w:tcPr>
        <w:shd w:val="clear" w:color="auto" w:fill="B8DBF1" w:themeFill="accent3" w:themeFillTint="66"/>
      </w:tcPr>
    </w:tblStylePr>
    <w:tblStylePr w:type="firstCol">
      <w:rPr>
        <w:color w:val="FFFFFF" w:themeColor="background1"/>
      </w:rPr>
      <w:tblPr/>
      <w:tcPr>
        <w:shd w:val="clear" w:color="auto" w:fill="2581BA" w:themeFill="accent3" w:themeFillShade="BF"/>
      </w:tcPr>
    </w:tblStylePr>
    <w:tblStylePr w:type="lastCol">
      <w:rPr>
        <w:color w:val="FFFFFF" w:themeColor="background1"/>
      </w:rPr>
      <w:tblPr/>
      <w:tcPr>
        <w:shd w:val="clear" w:color="auto" w:fill="2581BA" w:themeFill="accent3" w:themeFillShade="BF"/>
      </w:tcPr>
    </w:tblStylePr>
    <w:tblStylePr w:type="band1Vert">
      <w:tblPr/>
      <w:tcPr>
        <w:shd w:val="clear" w:color="auto" w:fill="A6D2ED" w:themeFill="accent3" w:themeFillTint="7F"/>
      </w:tcPr>
    </w:tblStylePr>
    <w:tblStylePr w:type="band1Horz">
      <w:tblPr/>
      <w:tcPr>
        <w:shd w:val="clear" w:color="auto" w:fill="A6D2E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3FA" w:themeFill="accent4" w:themeFillTint="33"/>
    </w:tcPr>
    <w:tblStylePr w:type="firstRow">
      <w:rPr>
        <w:b/>
        <w:bCs/>
      </w:rPr>
      <w:tblPr/>
      <w:tcPr>
        <w:shd w:val="clear" w:color="auto" w:fill="B5C7F5" w:themeFill="accent4" w:themeFillTint="66"/>
      </w:tcPr>
    </w:tblStylePr>
    <w:tblStylePr w:type="lastRow">
      <w:rPr>
        <w:b/>
        <w:bCs/>
        <w:color w:val="000000" w:themeColor="text1"/>
      </w:rPr>
      <w:tblPr/>
      <w:tcPr>
        <w:shd w:val="clear" w:color="auto" w:fill="B5C7F5" w:themeFill="accent4" w:themeFillTint="66"/>
      </w:tcPr>
    </w:tblStylePr>
    <w:tblStylePr w:type="firstCol">
      <w:rPr>
        <w:color w:val="FFFFFF" w:themeColor="background1"/>
      </w:rPr>
      <w:tblPr/>
      <w:tcPr>
        <w:shd w:val="clear" w:color="auto" w:fill="1A4BC7" w:themeFill="accent4" w:themeFillShade="BF"/>
      </w:tcPr>
    </w:tblStylePr>
    <w:tblStylePr w:type="lastCol">
      <w:rPr>
        <w:color w:val="FFFFFF" w:themeColor="background1"/>
      </w:rPr>
      <w:tblPr/>
      <w:tcPr>
        <w:shd w:val="clear" w:color="auto" w:fill="1A4BC7" w:themeFill="accent4" w:themeFillShade="BF"/>
      </w:tcPr>
    </w:tblStylePr>
    <w:tblStylePr w:type="band1Vert">
      <w:tblPr/>
      <w:tcPr>
        <w:shd w:val="clear" w:color="auto" w:fill="A3BAF3" w:themeFill="accent4" w:themeFillTint="7F"/>
      </w:tcPr>
    </w:tblStylePr>
    <w:tblStylePr w:type="band1Horz">
      <w:tblPr/>
      <w:tcPr>
        <w:shd w:val="clear" w:color="auto" w:fill="A3BAF3"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7E2F9" w:themeFill="accent5" w:themeFillTint="33"/>
    </w:tcPr>
    <w:tblStylePr w:type="firstRow">
      <w:rPr>
        <w:b/>
        <w:bCs/>
      </w:rPr>
      <w:tblPr/>
      <w:tcPr>
        <w:shd w:val="clear" w:color="auto" w:fill="CFC6F3" w:themeFill="accent5" w:themeFillTint="66"/>
      </w:tcPr>
    </w:tblStylePr>
    <w:tblStylePr w:type="lastRow">
      <w:rPr>
        <w:b/>
        <w:bCs/>
        <w:color w:val="000000" w:themeColor="text1"/>
      </w:rPr>
      <w:tblPr/>
      <w:tcPr>
        <w:shd w:val="clear" w:color="auto" w:fill="CFC6F3" w:themeFill="accent5" w:themeFillTint="66"/>
      </w:tcPr>
    </w:tblStylePr>
    <w:tblStylePr w:type="firstCol">
      <w:rPr>
        <w:color w:val="FFFFFF" w:themeColor="background1"/>
      </w:rPr>
      <w:tblPr/>
      <w:tcPr>
        <w:shd w:val="clear" w:color="auto" w:fill="4F2CD0" w:themeFill="accent5" w:themeFillShade="BF"/>
      </w:tcPr>
    </w:tblStylePr>
    <w:tblStylePr w:type="lastCol">
      <w:rPr>
        <w:color w:val="FFFFFF" w:themeColor="background1"/>
      </w:rPr>
      <w:tblPr/>
      <w:tcPr>
        <w:shd w:val="clear" w:color="auto" w:fill="4F2CD0" w:themeFill="accent5" w:themeFillShade="BF"/>
      </w:tcPr>
    </w:tblStylePr>
    <w:tblStylePr w:type="band1Vert">
      <w:tblPr/>
      <w:tcPr>
        <w:shd w:val="clear" w:color="auto" w:fill="C4B8F0" w:themeFill="accent5" w:themeFillTint="7F"/>
      </w:tcPr>
    </w:tblStylePr>
    <w:tblStylePr w:type="band1Horz">
      <w:tblPr/>
      <w:tcPr>
        <w:shd w:val="clear" w:color="auto" w:fill="C4B8F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AE2" w:themeFill="accent6" w:themeFillTint="33"/>
    </w:tcPr>
    <w:tblStylePr w:type="firstRow">
      <w:rPr>
        <w:b/>
        <w:bCs/>
      </w:rPr>
      <w:tblPr/>
      <w:tcPr>
        <w:shd w:val="clear" w:color="auto" w:fill="EEB5C6" w:themeFill="accent6" w:themeFillTint="66"/>
      </w:tcPr>
    </w:tblStylePr>
    <w:tblStylePr w:type="lastRow">
      <w:rPr>
        <w:b/>
        <w:bCs/>
        <w:color w:val="000000" w:themeColor="text1"/>
      </w:rPr>
      <w:tblPr/>
      <w:tcPr>
        <w:shd w:val="clear" w:color="auto" w:fill="EEB5C6" w:themeFill="accent6" w:themeFillTint="66"/>
      </w:tcPr>
    </w:tblStylePr>
    <w:tblStylePr w:type="firstCol">
      <w:rPr>
        <w:color w:val="FFFFFF" w:themeColor="background1"/>
      </w:rPr>
      <w:tblPr/>
      <w:tcPr>
        <w:shd w:val="clear" w:color="auto" w:fill="AD2750" w:themeFill="accent6" w:themeFillShade="BF"/>
      </w:tcPr>
    </w:tblStylePr>
    <w:tblStylePr w:type="lastCol">
      <w:rPr>
        <w:color w:val="FFFFFF" w:themeColor="background1"/>
      </w:rPr>
      <w:tblPr/>
      <w:tcPr>
        <w:shd w:val="clear" w:color="auto" w:fill="AD2750" w:themeFill="accent6" w:themeFillShade="BF"/>
      </w:tc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 w:type="paragraph" w:customStyle="1" w:styleId="SubtitleCustom">
    <w:name w:val="Subtitle Custom"/>
    <w:pPr>
      <w:spacing w:after="260"/>
    </w:pPr>
    <w:rPr>
      <w:rFonts w:ascii="Aptos" w:hAnsi="Aptos"/>
      <w:color w:val="666666"/>
      <w:sz w:val="25"/>
    </w:rPr>
  </w:style>
  <w:style w:type="paragraph" w:customStyle="1" w:styleId="Lead">
    <w:name w:val="Lead"/>
    <w:pPr>
      <w:spacing w:line="269" w:lineRule="auto"/>
    </w:pPr>
    <w:rPr>
      <w:rFonts w:ascii="Aptos" w:hAnsi="Aptos"/>
      <w:color w:val="222222"/>
      <w:sz w:val="24"/>
    </w:rPr>
  </w:style>
  <w:style w:type="paragraph" w:customStyle="1" w:styleId="Callout">
    <w:name w:val="Callout"/>
    <w:pPr>
      <w:spacing w:after="0"/>
    </w:pPr>
    <w:rPr>
      <w:rFonts w:ascii="Aptos" w:hAnsi="Aptos"/>
      <w:color w:val="222222"/>
      <w:sz w:val="20"/>
    </w:rPr>
  </w:style>
  <w:style w:type="paragraph" w:customStyle="1" w:styleId="SmallText">
    <w:name w:val="Small Text"/>
    <w:pPr>
      <w:spacing w:after="60"/>
    </w:pPr>
    <w:rPr>
      <w:rFonts w:ascii="Aptos" w:hAnsi="Aptos"/>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c.gov/site/doh/business/food-operators/temporary-food-service-establishments.page" TargetMode="External"/><Relationship Id="rId13" Type="http://schemas.openxmlformats.org/officeDocument/2006/relationships/hyperlink" Target="https://www.tax.ny.gov/pubs_and_bulls/tg_bulletins/st/how_to_register_for_nys_sales_tax.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c.gov/site/cecm/permitting/permit-types/street-events.pag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c.gov/site/cecm/about/sapo.pag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portal.311.nyc.gov/article/?kanumber=KA-01825" TargetMode="External"/><Relationship Id="rId4" Type="http://schemas.openxmlformats.org/officeDocument/2006/relationships/settings" Target="settings.xml"/><Relationship Id="rId9" Type="http://schemas.openxmlformats.org/officeDocument/2006/relationships/hyperlink" Target="https://www.nyc.gov/site/doh/business/food-operators/self-inspection-checklist-temporary-events.page" TargetMode="External"/><Relationship Id="rId14" Type="http://schemas.openxmlformats.org/officeDocument/2006/relationships/hyperlink" Target="https://www.tax.ny.gov/bus/doingbus/sell.htm" TargetMode="Externa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Darrell Pender</cp:lastModifiedBy>
  <cp:revision>4</cp:revision>
  <dcterms:created xsi:type="dcterms:W3CDTF">2013-12-23T23:15:00Z</dcterms:created>
  <dcterms:modified xsi:type="dcterms:W3CDTF">2026-09-11T16:20:00Z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d1beb160-bb57-4e30-b1b7-6abf754449c1</vt:lpwstr>
  </property>
</Properties>
</file>