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39E37" w14:textId="77777777" w:rsidR="00E10BFE" w:rsidRDefault="00000000">
      <w:pPr>
        <w:pStyle w:val="Title"/>
      </w:pPr>
      <w:r>
        <w:t>Pop-Up Event Planning</w:t>
      </w:r>
    </w:p>
    <w:p w14:paraId="70498A8E" w14:textId="77777777" w:rsidR="00E10BFE" w:rsidRDefault="00000000" w:rsidP="00685EA8">
      <w:pPr>
        <w:pStyle w:val="LeadGuide"/>
      </w:pPr>
      <w:r>
        <w:t>Practical guidance for planning a food, beverage, retail, or hospitality pop-up in the United States</w:t>
      </w:r>
    </w:p>
    <w:p w14:paraId="50555D0D" w14:textId="54B09AA8" w:rsidR="00E10BFE" w:rsidRDefault="000F3160">
      <w:pPr>
        <w:pStyle w:val="LeadGuide"/>
      </w:pPr>
      <w:r>
        <w:t>A successful pop-up depends on aligning the concept with the location, budget, operating capacity, legal requirements, and customer experience. Use the event location as the primary factor for permits and regulations: requirements can vary by state, county, city, and venue.</w:t>
      </w:r>
    </w:p>
    <w:p w14:paraId="75DF921D" w14:textId="77777777" w:rsidR="00E10BFE" w:rsidRDefault="00000000" w:rsidP="001177A3">
      <w:pPr>
        <w:pStyle w:val="Heading1"/>
      </w:pPr>
      <w:r>
        <w:t>1. Define the Event Before Spending Money</w:t>
      </w:r>
    </w:p>
    <w:p w14:paraId="1CF54CF0" w14:textId="23412342" w:rsidR="00E10BFE" w:rsidRDefault="000F3160">
      <w:r>
        <w:t>Be able to clearly explain the event before paying deposits, ordering products, renting equipment, or advertising. The concept should identify what you're offering, who the event is for, how guests will purchase, how many people you can realistically serve, and what would make the event successful.</w:t>
      </w:r>
    </w:p>
    <w:p w14:paraId="099543F8" w14:textId="77777777" w:rsidR="00E10BFE" w:rsidRDefault="00000000" w:rsidP="000F3160">
      <w:pPr>
        <w:pStyle w:val="ListBullet"/>
        <w:numPr>
          <w:ilvl w:val="0"/>
          <w:numId w:val="11"/>
        </w:numPr>
        <w:spacing w:after="44"/>
      </w:pPr>
      <w:r>
        <w:t>Purpose: revenue, brand exposure, menu or product testing, launch, collaboration, fundraising, or another specific goal.</w:t>
      </w:r>
    </w:p>
    <w:p w14:paraId="3E5D3E16" w14:textId="77777777" w:rsidR="00E10BFE" w:rsidRDefault="00000000" w:rsidP="000F3160">
      <w:pPr>
        <w:pStyle w:val="ListBullet"/>
        <w:numPr>
          <w:ilvl w:val="0"/>
          <w:numId w:val="11"/>
        </w:numPr>
        <w:spacing w:after="44"/>
      </w:pPr>
      <w:r>
        <w:t>Format: walk-up, reservations, prepaid tickets, seated service, tasting, takeout, market booth, retail pop-up, or hybrid format.</w:t>
      </w:r>
    </w:p>
    <w:p w14:paraId="1A23A64A" w14:textId="77777777" w:rsidR="00E10BFE" w:rsidRDefault="00000000" w:rsidP="000F3160">
      <w:pPr>
        <w:pStyle w:val="ListBullet"/>
        <w:numPr>
          <w:ilvl w:val="0"/>
          <w:numId w:val="11"/>
        </w:numPr>
        <w:spacing w:after="44"/>
      </w:pPr>
      <w:r>
        <w:t>Expected attendance: minimum, realistic, and maximum guest counts.</w:t>
      </w:r>
    </w:p>
    <w:p w14:paraId="64AF259E" w14:textId="77777777" w:rsidR="00E10BFE" w:rsidRDefault="00000000" w:rsidP="000F3160">
      <w:pPr>
        <w:pStyle w:val="ListBullet"/>
        <w:numPr>
          <w:ilvl w:val="0"/>
          <w:numId w:val="11"/>
        </w:numPr>
        <w:spacing w:after="44"/>
      </w:pPr>
      <w:r>
        <w:t>Service capacity: how many orders or transactions can actually be completed during the available service window.</w:t>
      </w:r>
    </w:p>
    <w:p w14:paraId="2E431C34" w14:textId="77777777" w:rsidR="00E10BFE" w:rsidRDefault="00000000" w:rsidP="000F3160">
      <w:pPr>
        <w:pStyle w:val="ListBullet"/>
        <w:numPr>
          <w:ilvl w:val="0"/>
          <w:numId w:val="11"/>
        </w:numPr>
        <w:spacing w:after="44"/>
      </w:pPr>
      <w:r>
        <w:t>Average expected spend per guest or transaction.</w:t>
      </w:r>
    </w:p>
    <w:p w14:paraId="5F9DCFC1" w14:textId="77777777" w:rsidR="00E10BFE" w:rsidRDefault="00000000" w:rsidP="000F3160">
      <w:pPr>
        <w:pStyle w:val="ListBullet"/>
        <w:numPr>
          <w:ilvl w:val="0"/>
          <w:numId w:val="11"/>
        </w:numPr>
        <w:spacing w:after="44"/>
      </w:pPr>
      <w:r>
        <w:t>Exact setup, service, closing, and breakdown times.</w:t>
      </w:r>
    </w:p>
    <w:tbl>
      <w:tblPr>
        <w:tblW w:w="0" w:type="auto"/>
        <w:jc w:val="center"/>
        <w:tblLayout w:type="fixed"/>
        <w:tblLook w:val="04A0" w:firstRow="1" w:lastRow="0" w:firstColumn="1" w:lastColumn="0" w:noHBand="0" w:noVBand="1"/>
      </w:tblPr>
      <w:tblGrid>
        <w:gridCol w:w="9994"/>
      </w:tblGrid>
      <w:tr w:rsidR="00E10BFE" w14:paraId="34C91E1F" w14:textId="77777777">
        <w:trPr>
          <w:jc w:val="center"/>
        </w:trPr>
        <w:tc>
          <w:tcPr>
            <w:tcW w:w="9994" w:type="dxa"/>
            <w:shd w:val="clear" w:color="auto" w:fill="EAF1F8"/>
            <w:tcMar>
              <w:top w:w="110" w:type="dxa"/>
              <w:left w:w="145" w:type="dxa"/>
              <w:bottom w:w="110" w:type="dxa"/>
              <w:right w:w="145" w:type="dxa"/>
            </w:tcMar>
          </w:tcPr>
          <w:p w14:paraId="44380949" w14:textId="65FC8F14" w:rsidR="00E10BFE" w:rsidRDefault="00000000">
            <w:pPr>
              <w:spacing w:after="0"/>
            </w:pPr>
            <w:r>
              <w:rPr>
                <w:b/>
                <w:color w:val="17365D"/>
                <w:sz w:val="20"/>
              </w:rPr>
              <w:t xml:space="preserve">Capacity matters: </w:t>
            </w:r>
            <w:r>
              <w:rPr>
                <w:sz w:val="20"/>
              </w:rPr>
              <w:t>Venue capacity does not automatically equal service capacity. The space may hold 150 people</w:t>
            </w:r>
            <w:r w:rsidR="000F3160">
              <w:rPr>
                <w:sz w:val="20"/>
              </w:rPr>
              <w:t>, but the kitchen, checkout line, or staff may</w:t>
            </w:r>
            <w:r>
              <w:rPr>
                <w:sz w:val="20"/>
              </w:rPr>
              <w:t xml:space="preserve"> only handle 70 efficiently.</w:t>
            </w:r>
          </w:p>
        </w:tc>
      </w:tr>
    </w:tbl>
    <w:p w14:paraId="55DC0491" w14:textId="77777777" w:rsidR="00E10BFE" w:rsidRDefault="00000000" w:rsidP="001177A3">
      <w:pPr>
        <w:pStyle w:val="Heading1"/>
      </w:pPr>
      <w:r>
        <w:t xml:space="preserve">2. Build the Schedule Backward </w:t>
      </w:r>
      <w:proofErr w:type="gramStart"/>
      <w:r>
        <w:t>From</w:t>
      </w:r>
      <w:proofErr w:type="gramEnd"/>
      <w:r>
        <w:t xml:space="preserve"> Event Day</w:t>
      </w:r>
    </w:p>
    <w:p w14:paraId="74A82057" w14:textId="77777777" w:rsidR="00E10BFE" w:rsidRDefault="00000000">
      <w:r>
        <w:t>Pop-ups have fixed dates, so late decisions create expensive problems. Work backward from the event date and assign deadlines for venue approval, permits, insurance, vendors, equipment, staffing, marketing, purchasing, and production.</w:t>
      </w:r>
    </w:p>
    <w:tbl>
      <w:tblPr>
        <w:tblStyle w:val="TableGrid"/>
        <w:tblW w:w="10535" w:type="dxa"/>
        <w:jc w:val="center"/>
        <w:tblLayout w:type="fixed"/>
        <w:tblLook w:val="04A0" w:firstRow="1" w:lastRow="0" w:firstColumn="1" w:lastColumn="0" w:noHBand="0" w:noVBand="1"/>
      </w:tblPr>
      <w:tblGrid>
        <w:gridCol w:w="1710"/>
        <w:gridCol w:w="8825"/>
      </w:tblGrid>
      <w:tr w:rsidR="00E10BFE" w14:paraId="31B426BC" w14:textId="77777777" w:rsidTr="001177A3">
        <w:trPr>
          <w:jc w:val="center"/>
        </w:trPr>
        <w:tc>
          <w:tcPr>
            <w:tcW w:w="1710" w:type="dxa"/>
            <w:shd w:val="clear" w:color="auto" w:fill="17365D"/>
            <w:tcMar>
              <w:top w:w="90" w:type="dxa"/>
              <w:left w:w="110" w:type="dxa"/>
              <w:bottom w:w="90" w:type="dxa"/>
              <w:right w:w="110" w:type="dxa"/>
            </w:tcMar>
          </w:tcPr>
          <w:p w14:paraId="70ED987F" w14:textId="77777777" w:rsidR="00E10BFE" w:rsidRDefault="00000000">
            <w:pPr>
              <w:spacing w:after="0"/>
            </w:pPr>
            <w:r>
              <w:rPr>
                <w:b/>
                <w:color w:val="FFFFFF"/>
                <w:sz w:val="18"/>
              </w:rPr>
              <w:t>Timing</w:t>
            </w:r>
          </w:p>
        </w:tc>
        <w:tc>
          <w:tcPr>
            <w:tcW w:w="8825" w:type="dxa"/>
            <w:shd w:val="clear" w:color="auto" w:fill="17365D"/>
            <w:tcMar>
              <w:top w:w="90" w:type="dxa"/>
              <w:left w:w="110" w:type="dxa"/>
              <w:bottom w:w="90" w:type="dxa"/>
              <w:right w:w="110" w:type="dxa"/>
            </w:tcMar>
          </w:tcPr>
          <w:p w14:paraId="660039BE" w14:textId="77777777" w:rsidR="00E10BFE" w:rsidRDefault="00000000">
            <w:pPr>
              <w:spacing w:after="0"/>
            </w:pPr>
            <w:r>
              <w:rPr>
                <w:b/>
                <w:color w:val="FFFFFF"/>
                <w:sz w:val="18"/>
              </w:rPr>
              <w:t>Planning focus</w:t>
            </w:r>
          </w:p>
        </w:tc>
      </w:tr>
      <w:tr w:rsidR="00E10BFE" w14:paraId="1ACE1E75" w14:textId="77777777" w:rsidTr="001177A3">
        <w:trPr>
          <w:jc w:val="center"/>
        </w:trPr>
        <w:tc>
          <w:tcPr>
            <w:tcW w:w="1710" w:type="dxa"/>
            <w:shd w:val="clear" w:color="auto" w:fill="F3F5F7"/>
            <w:tcMar>
              <w:top w:w="90" w:type="dxa"/>
              <w:left w:w="110" w:type="dxa"/>
              <w:bottom w:w="90" w:type="dxa"/>
              <w:right w:w="110" w:type="dxa"/>
            </w:tcMar>
          </w:tcPr>
          <w:p w14:paraId="673EC5AC" w14:textId="77777777" w:rsidR="00E10BFE" w:rsidRDefault="00000000">
            <w:pPr>
              <w:spacing w:after="0"/>
            </w:pPr>
            <w:r>
              <w:rPr>
                <w:b/>
                <w:sz w:val="18"/>
              </w:rPr>
              <w:t>6-8+ weeks out</w:t>
            </w:r>
          </w:p>
        </w:tc>
        <w:tc>
          <w:tcPr>
            <w:tcW w:w="8825" w:type="dxa"/>
            <w:tcMar>
              <w:top w:w="90" w:type="dxa"/>
              <w:left w:w="110" w:type="dxa"/>
              <w:bottom w:w="90" w:type="dxa"/>
              <w:right w:w="110" w:type="dxa"/>
            </w:tcMar>
          </w:tcPr>
          <w:p w14:paraId="6E324D58" w14:textId="77777777" w:rsidR="00E10BFE" w:rsidRDefault="00000000">
            <w:pPr>
              <w:spacing w:after="0"/>
            </w:pPr>
            <w:r>
              <w:rPr>
                <w:sz w:val="18"/>
              </w:rPr>
              <w:t>Confirm concept, date, preliminary budget, venue options, permit research, insurance needs, preliminary menu or product mix, and sales model.</w:t>
            </w:r>
          </w:p>
        </w:tc>
      </w:tr>
      <w:tr w:rsidR="00E10BFE" w14:paraId="14019C9E" w14:textId="77777777" w:rsidTr="001177A3">
        <w:trPr>
          <w:jc w:val="center"/>
        </w:trPr>
        <w:tc>
          <w:tcPr>
            <w:tcW w:w="1710" w:type="dxa"/>
            <w:shd w:val="clear" w:color="auto" w:fill="F3F5F7"/>
            <w:tcMar>
              <w:top w:w="90" w:type="dxa"/>
              <w:left w:w="110" w:type="dxa"/>
              <w:bottom w:w="90" w:type="dxa"/>
              <w:right w:w="110" w:type="dxa"/>
            </w:tcMar>
          </w:tcPr>
          <w:p w14:paraId="70734126" w14:textId="77777777" w:rsidR="00E10BFE" w:rsidRDefault="00000000">
            <w:pPr>
              <w:spacing w:after="0"/>
            </w:pPr>
            <w:r>
              <w:rPr>
                <w:b/>
                <w:sz w:val="18"/>
              </w:rPr>
              <w:t>4-6 weeks out</w:t>
            </w:r>
          </w:p>
        </w:tc>
        <w:tc>
          <w:tcPr>
            <w:tcW w:w="8825" w:type="dxa"/>
            <w:tcMar>
              <w:top w:w="90" w:type="dxa"/>
              <w:left w:w="110" w:type="dxa"/>
              <w:bottom w:w="90" w:type="dxa"/>
              <w:right w:w="110" w:type="dxa"/>
            </w:tcMar>
          </w:tcPr>
          <w:p w14:paraId="1097360F" w14:textId="77777777" w:rsidR="00E10BFE" w:rsidRDefault="00000000">
            <w:pPr>
              <w:spacing w:after="0"/>
            </w:pPr>
            <w:r>
              <w:rPr>
                <w:sz w:val="18"/>
              </w:rPr>
              <w:t>Secure the venue, begin required applications, confirm vendors and rentals, finalize service style, and launch promotion if appropriate.</w:t>
            </w:r>
          </w:p>
        </w:tc>
      </w:tr>
      <w:tr w:rsidR="00E10BFE" w14:paraId="054617DD" w14:textId="77777777" w:rsidTr="001177A3">
        <w:trPr>
          <w:jc w:val="center"/>
        </w:trPr>
        <w:tc>
          <w:tcPr>
            <w:tcW w:w="1710" w:type="dxa"/>
            <w:shd w:val="clear" w:color="auto" w:fill="F3F5F7"/>
            <w:tcMar>
              <w:top w:w="90" w:type="dxa"/>
              <w:left w:w="110" w:type="dxa"/>
              <w:bottom w:w="90" w:type="dxa"/>
              <w:right w:w="110" w:type="dxa"/>
            </w:tcMar>
          </w:tcPr>
          <w:p w14:paraId="1CE21199" w14:textId="77777777" w:rsidR="00E10BFE" w:rsidRDefault="00000000">
            <w:pPr>
              <w:spacing w:after="0"/>
            </w:pPr>
            <w:r>
              <w:rPr>
                <w:b/>
                <w:sz w:val="18"/>
              </w:rPr>
              <w:t>2-4 weeks out</w:t>
            </w:r>
          </w:p>
        </w:tc>
        <w:tc>
          <w:tcPr>
            <w:tcW w:w="8825" w:type="dxa"/>
            <w:tcMar>
              <w:top w:w="90" w:type="dxa"/>
              <w:left w:w="110" w:type="dxa"/>
              <w:bottom w:w="90" w:type="dxa"/>
              <w:right w:w="110" w:type="dxa"/>
            </w:tcMar>
          </w:tcPr>
          <w:p w14:paraId="27C9D6E7" w14:textId="77777777" w:rsidR="00E10BFE" w:rsidRDefault="00000000">
            <w:pPr>
              <w:spacing w:after="0"/>
            </w:pPr>
            <w:r>
              <w:rPr>
                <w:sz w:val="18"/>
              </w:rPr>
              <w:t>Finalize pricing, staffing, purchasing quantities, production plan, equipment, signage, payment system, and guest flow.</w:t>
            </w:r>
          </w:p>
        </w:tc>
      </w:tr>
      <w:tr w:rsidR="00E10BFE" w14:paraId="0D80D7A3" w14:textId="77777777" w:rsidTr="001177A3">
        <w:trPr>
          <w:jc w:val="center"/>
        </w:trPr>
        <w:tc>
          <w:tcPr>
            <w:tcW w:w="1710" w:type="dxa"/>
            <w:shd w:val="clear" w:color="auto" w:fill="F3F5F7"/>
            <w:tcMar>
              <w:top w:w="90" w:type="dxa"/>
              <w:left w:w="110" w:type="dxa"/>
              <w:bottom w:w="90" w:type="dxa"/>
              <w:right w:w="110" w:type="dxa"/>
            </w:tcMar>
          </w:tcPr>
          <w:p w14:paraId="6D0E38BF" w14:textId="77777777" w:rsidR="00E10BFE" w:rsidRDefault="00000000">
            <w:pPr>
              <w:spacing w:after="0"/>
            </w:pPr>
            <w:r>
              <w:rPr>
                <w:b/>
                <w:sz w:val="18"/>
              </w:rPr>
              <w:t>1 week out</w:t>
            </w:r>
          </w:p>
        </w:tc>
        <w:tc>
          <w:tcPr>
            <w:tcW w:w="8825" w:type="dxa"/>
            <w:tcMar>
              <w:top w:w="90" w:type="dxa"/>
              <w:left w:w="110" w:type="dxa"/>
              <w:bottom w:w="90" w:type="dxa"/>
              <w:right w:w="110" w:type="dxa"/>
            </w:tcMar>
          </w:tcPr>
          <w:p w14:paraId="55A3F1D2" w14:textId="77777777" w:rsidR="00E10BFE" w:rsidRDefault="00000000">
            <w:pPr>
              <w:spacing w:after="0"/>
            </w:pPr>
            <w:r>
              <w:rPr>
                <w:sz w:val="18"/>
              </w:rPr>
              <w:t>Confirm attendance forecast, orders, deliveries, staff schedule, permits, insurance documents, equipment, payment devices, packing list, and backup supplies.</w:t>
            </w:r>
          </w:p>
        </w:tc>
      </w:tr>
      <w:tr w:rsidR="00E10BFE" w14:paraId="72670AF7" w14:textId="77777777" w:rsidTr="001177A3">
        <w:trPr>
          <w:jc w:val="center"/>
        </w:trPr>
        <w:tc>
          <w:tcPr>
            <w:tcW w:w="1710" w:type="dxa"/>
            <w:shd w:val="clear" w:color="auto" w:fill="F3F5F7"/>
            <w:tcMar>
              <w:top w:w="90" w:type="dxa"/>
              <w:left w:w="110" w:type="dxa"/>
              <w:bottom w:w="90" w:type="dxa"/>
              <w:right w:w="110" w:type="dxa"/>
            </w:tcMar>
          </w:tcPr>
          <w:p w14:paraId="22DD5398" w14:textId="77777777" w:rsidR="00E10BFE" w:rsidRDefault="00000000">
            <w:pPr>
              <w:spacing w:after="0"/>
            </w:pPr>
            <w:r>
              <w:rPr>
                <w:b/>
                <w:sz w:val="18"/>
              </w:rPr>
              <w:t>1-2 days out</w:t>
            </w:r>
          </w:p>
        </w:tc>
        <w:tc>
          <w:tcPr>
            <w:tcW w:w="8825" w:type="dxa"/>
            <w:tcMar>
              <w:top w:w="90" w:type="dxa"/>
              <w:left w:w="110" w:type="dxa"/>
              <w:bottom w:w="90" w:type="dxa"/>
              <w:right w:w="110" w:type="dxa"/>
            </w:tcMar>
          </w:tcPr>
          <w:p w14:paraId="1FDCBDB8" w14:textId="77777777" w:rsidR="00E10BFE" w:rsidRDefault="00000000">
            <w:pPr>
              <w:spacing w:after="0"/>
            </w:pPr>
            <w:r>
              <w:rPr>
                <w:sz w:val="18"/>
              </w:rPr>
              <w:t>Complete allowed advance preparation, verify inventory, charge devices, print lists/signage, and reconfirm venue access and vendor arrival times.</w:t>
            </w:r>
          </w:p>
        </w:tc>
      </w:tr>
      <w:tr w:rsidR="00E10BFE" w14:paraId="56C072F8" w14:textId="77777777" w:rsidTr="001177A3">
        <w:trPr>
          <w:jc w:val="center"/>
        </w:trPr>
        <w:tc>
          <w:tcPr>
            <w:tcW w:w="1710" w:type="dxa"/>
            <w:shd w:val="clear" w:color="auto" w:fill="F3F5F7"/>
            <w:tcMar>
              <w:top w:w="90" w:type="dxa"/>
              <w:left w:w="110" w:type="dxa"/>
              <w:bottom w:w="90" w:type="dxa"/>
              <w:right w:w="110" w:type="dxa"/>
            </w:tcMar>
          </w:tcPr>
          <w:p w14:paraId="761C9EBD" w14:textId="77777777" w:rsidR="00E10BFE" w:rsidRDefault="00000000">
            <w:pPr>
              <w:spacing w:after="0"/>
            </w:pPr>
            <w:r>
              <w:rPr>
                <w:b/>
                <w:sz w:val="18"/>
              </w:rPr>
              <w:t>Event day</w:t>
            </w:r>
          </w:p>
        </w:tc>
        <w:tc>
          <w:tcPr>
            <w:tcW w:w="8825" w:type="dxa"/>
            <w:tcMar>
              <w:top w:w="90" w:type="dxa"/>
              <w:left w:w="110" w:type="dxa"/>
              <w:bottom w:w="90" w:type="dxa"/>
              <w:right w:w="110" w:type="dxa"/>
            </w:tcMar>
          </w:tcPr>
          <w:p w14:paraId="43029FFD" w14:textId="77777777" w:rsidR="00E10BFE" w:rsidRDefault="00000000">
            <w:pPr>
              <w:spacing w:after="0"/>
            </w:pPr>
            <w:r>
              <w:rPr>
                <w:sz w:val="18"/>
              </w:rPr>
              <w:t>Receive, transport, set up, verify safety and equipment, brief staff, operate service, monitor inventory and sales, then close and clean.</w:t>
            </w:r>
          </w:p>
        </w:tc>
      </w:tr>
    </w:tbl>
    <w:p w14:paraId="30076791" w14:textId="77777777" w:rsidR="00E10BFE" w:rsidRDefault="00E10BFE">
      <w:pPr>
        <w:spacing w:after="0"/>
      </w:pPr>
    </w:p>
    <w:p w14:paraId="271CE67E" w14:textId="77777777" w:rsidR="00E10BFE" w:rsidRDefault="00000000" w:rsidP="001177A3">
      <w:pPr>
        <w:pStyle w:val="Heading1"/>
      </w:pPr>
      <w:r>
        <w:lastRenderedPageBreak/>
        <w:t>3. Evaluate the Venue as an Operating Space</w:t>
      </w:r>
    </w:p>
    <w:p w14:paraId="1AC327D3" w14:textId="2FB57E6F" w:rsidR="00E10BFE" w:rsidRDefault="00000000">
      <w:r>
        <w:t xml:space="preserve">Do not choose a venue based only on appearance or price. Confirm what the space can legally and physically support, what </w:t>
      </w:r>
      <w:r w:rsidR="000F3160">
        <w:t>the rental includes, and what you must supply</w:t>
      </w:r>
      <w:r>
        <w:t xml:space="preserve"> separately.</w:t>
      </w:r>
    </w:p>
    <w:p w14:paraId="4BDB7808" w14:textId="77777777" w:rsidR="00E10BFE" w:rsidRDefault="00000000" w:rsidP="000F3160">
      <w:pPr>
        <w:pStyle w:val="ListBullet"/>
        <w:numPr>
          <w:ilvl w:val="0"/>
          <w:numId w:val="13"/>
        </w:numPr>
        <w:spacing w:after="44"/>
      </w:pPr>
      <w:r>
        <w:t>Rental fee, deposit, due dates, cancellation terms, overtime charges, damage charges, and cleaning fees.</w:t>
      </w:r>
    </w:p>
    <w:p w14:paraId="3D98B574" w14:textId="77777777" w:rsidR="00E10BFE" w:rsidRDefault="00000000" w:rsidP="000F3160">
      <w:pPr>
        <w:pStyle w:val="ListBullet"/>
        <w:numPr>
          <w:ilvl w:val="0"/>
          <w:numId w:val="13"/>
        </w:numPr>
        <w:spacing w:after="44"/>
      </w:pPr>
      <w:r>
        <w:t>Exact access time, setup time, service window, breakdown deadline, and pickup restrictions.</w:t>
      </w:r>
    </w:p>
    <w:p w14:paraId="26760839" w14:textId="77777777" w:rsidR="00E10BFE" w:rsidRDefault="00000000" w:rsidP="000F3160">
      <w:pPr>
        <w:pStyle w:val="ListBullet"/>
        <w:numPr>
          <w:ilvl w:val="0"/>
          <w:numId w:val="13"/>
        </w:numPr>
        <w:spacing w:after="44"/>
      </w:pPr>
      <w:r>
        <w:t>Maximum occupancy and any restrictions on public attendance or ticketed events.</w:t>
      </w:r>
    </w:p>
    <w:p w14:paraId="19262776" w14:textId="77777777" w:rsidR="00E10BFE" w:rsidRDefault="00000000" w:rsidP="000F3160">
      <w:pPr>
        <w:pStyle w:val="ListBullet"/>
        <w:numPr>
          <w:ilvl w:val="0"/>
          <w:numId w:val="13"/>
        </w:numPr>
        <w:spacing w:after="44"/>
      </w:pPr>
      <w:r>
        <w:t>Kitchen/prep access, refrigeration, freezer space, sinks, hot water, dishwashing, storage, and ice.</w:t>
      </w:r>
    </w:p>
    <w:p w14:paraId="67C4888C" w14:textId="77777777" w:rsidR="00E10BFE" w:rsidRDefault="00000000" w:rsidP="000F3160">
      <w:pPr>
        <w:pStyle w:val="ListBullet"/>
        <w:numPr>
          <w:ilvl w:val="0"/>
          <w:numId w:val="13"/>
        </w:numPr>
        <w:spacing w:after="44"/>
      </w:pPr>
      <w:r>
        <w:t>Electrical capacity, gas access, ventilation, generator policy, and restrictions on fryers, grills, burners, open flame, propane, or other fuel.</w:t>
      </w:r>
    </w:p>
    <w:p w14:paraId="79B742EA" w14:textId="77777777" w:rsidR="00E10BFE" w:rsidRDefault="00000000" w:rsidP="000F3160">
      <w:pPr>
        <w:pStyle w:val="ListBullet"/>
        <w:numPr>
          <w:ilvl w:val="0"/>
          <w:numId w:val="13"/>
        </w:numPr>
        <w:spacing w:after="44"/>
      </w:pPr>
      <w:r>
        <w:t>Tables, chairs, linens, restrooms, trash handling, loading access, parking, and accessible routes.</w:t>
      </w:r>
    </w:p>
    <w:p w14:paraId="068F05F8" w14:textId="77777777" w:rsidR="00E10BFE" w:rsidRDefault="00000000" w:rsidP="000F3160">
      <w:pPr>
        <w:pStyle w:val="ListBullet"/>
        <w:numPr>
          <w:ilvl w:val="0"/>
          <w:numId w:val="13"/>
        </w:numPr>
        <w:spacing w:after="44"/>
      </w:pPr>
      <w:r>
        <w:t>Rules for outside food, alcohol, caterers, vendors, entertainment, amplified sound, signage, tents, canopies, or temporary structures.</w:t>
      </w:r>
    </w:p>
    <w:p w14:paraId="37E4B16B" w14:textId="77777777" w:rsidR="00E10BFE" w:rsidRDefault="00000000" w:rsidP="000F3160">
      <w:pPr>
        <w:pStyle w:val="ListBullet"/>
        <w:numPr>
          <w:ilvl w:val="0"/>
          <w:numId w:val="13"/>
        </w:numPr>
        <w:spacing w:after="44"/>
      </w:pPr>
      <w:r>
        <w:t>Insurance requirements and the exact names that must appear on any Certificate of Insurance.</w:t>
      </w:r>
    </w:p>
    <w:tbl>
      <w:tblPr>
        <w:tblW w:w="0" w:type="auto"/>
        <w:jc w:val="center"/>
        <w:tblLayout w:type="fixed"/>
        <w:tblLook w:val="04A0" w:firstRow="1" w:lastRow="0" w:firstColumn="1" w:lastColumn="0" w:noHBand="0" w:noVBand="1"/>
      </w:tblPr>
      <w:tblGrid>
        <w:gridCol w:w="9994"/>
      </w:tblGrid>
      <w:tr w:rsidR="00E10BFE" w14:paraId="04A51F5B" w14:textId="77777777">
        <w:trPr>
          <w:jc w:val="center"/>
        </w:trPr>
        <w:tc>
          <w:tcPr>
            <w:tcW w:w="9994" w:type="dxa"/>
            <w:shd w:val="clear" w:color="auto" w:fill="EAF1F8"/>
            <w:tcMar>
              <w:top w:w="110" w:type="dxa"/>
              <w:left w:w="145" w:type="dxa"/>
              <w:bottom w:w="110" w:type="dxa"/>
              <w:right w:w="145" w:type="dxa"/>
            </w:tcMar>
          </w:tcPr>
          <w:p w14:paraId="5B7723CC" w14:textId="77777777" w:rsidR="00E10BFE" w:rsidRDefault="00000000">
            <w:pPr>
              <w:spacing w:after="0"/>
            </w:pPr>
            <w:r>
              <w:rPr>
                <w:b/>
                <w:color w:val="17365D"/>
                <w:sz w:val="20"/>
              </w:rPr>
              <w:t xml:space="preserve">Do not assume: </w:t>
            </w:r>
            <w:r>
              <w:rPr>
                <w:sz w:val="20"/>
              </w:rPr>
              <w:t>A venue described as 'event-ready' is not automatically approved for every type of cooking, alcohol service, food vending, generator, tent, sound system, or temporary structure.</w:t>
            </w:r>
          </w:p>
        </w:tc>
      </w:tr>
    </w:tbl>
    <w:p w14:paraId="0B6389EB" w14:textId="77777777" w:rsidR="00E10BFE" w:rsidRDefault="00000000" w:rsidP="001177A3">
      <w:pPr>
        <w:pStyle w:val="Heading1"/>
      </w:pPr>
      <w:r>
        <w:t>4. Verify Requirements for the Actual State and Locality</w:t>
      </w:r>
    </w:p>
    <w:p w14:paraId="04AEB89E" w14:textId="7E5E10DB" w:rsidR="00E10BFE" w:rsidRDefault="00983DA0">
      <w:r>
        <w:t xml:space="preserve">No single U.S. pop-up permit </w:t>
      </w:r>
      <w:r w:rsidR="000F3160">
        <w:t>covers every location. State, county, city, health department, fire authority, tax agency, alcohol authority, and venue requirements can overlap. Verify the rules for the event's address.</w:t>
      </w:r>
    </w:p>
    <w:tbl>
      <w:tblPr>
        <w:tblStyle w:val="TableGrid"/>
        <w:tblW w:w="10534" w:type="dxa"/>
        <w:jc w:val="center"/>
        <w:tblLayout w:type="fixed"/>
        <w:tblLook w:val="04A0" w:firstRow="1" w:lastRow="0" w:firstColumn="1" w:lastColumn="0" w:noHBand="0" w:noVBand="1"/>
      </w:tblPr>
      <w:tblGrid>
        <w:gridCol w:w="1980"/>
        <w:gridCol w:w="8554"/>
      </w:tblGrid>
      <w:tr w:rsidR="00E10BFE" w14:paraId="04B3DA91" w14:textId="77777777" w:rsidTr="00685EA8">
        <w:trPr>
          <w:jc w:val="center"/>
        </w:trPr>
        <w:tc>
          <w:tcPr>
            <w:tcW w:w="1980" w:type="dxa"/>
            <w:shd w:val="clear" w:color="auto" w:fill="17365D"/>
            <w:tcMar>
              <w:top w:w="90" w:type="dxa"/>
              <w:left w:w="110" w:type="dxa"/>
              <w:bottom w:w="90" w:type="dxa"/>
              <w:right w:w="110" w:type="dxa"/>
            </w:tcMar>
          </w:tcPr>
          <w:p w14:paraId="3DED3A60" w14:textId="77777777" w:rsidR="00E10BFE" w:rsidRDefault="00000000">
            <w:pPr>
              <w:spacing w:after="0"/>
            </w:pPr>
            <w:r>
              <w:rPr>
                <w:b/>
                <w:color w:val="FFFFFF"/>
                <w:sz w:val="18"/>
              </w:rPr>
              <w:t>Area</w:t>
            </w:r>
          </w:p>
        </w:tc>
        <w:tc>
          <w:tcPr>
            <w:tcW w:w="8554" w:type="dxa"/>
            <w:shd w:val="clear" w:color="auto" w:fill="17365D"/>
            <w:tcMar>
              <w:top w:w="90" w:type="dxa"/>
              <w:left w:w="110" w:type="dxa"/>
              <w:bottom w:w="90" w:type="dxa"/>
              <w:right w:w="110" w:type="dxa"/>
            </w:tcMar>
          </w:tcPr>
          <w:p w14:paraId="50E53876" w14:textId="77777777" w:rsidR="00E10BFE" w:rsidRDefault="00000000">
            <w:pPr>
              <w:spacing w:after="0"/>
            </w:pPr>
            <w:r>
              <w:rPr>
                <w:b/>
                <w:color w:val="FFFFFF"/>
                <w:sz w:val="18"/>
              </w:rPr>
              <w:t>Where to verify</w:t>
            </w:r>
          </w:p>
        </w:tc>
      </w:tr>
      <w:tr w:rsidR="00E10BFE" w14:paraId="17FB5683" w14:textId="77777777" w:rsidTr="00685EA8">
        <w:trPr>
          <w:jc w:val="center"/>
        </w:trPr>
        <w:tc>
          <w:tcPr>
            <w:tcW w:w="1980" w:type="dxa"/>
            <w:shd w:val="clear" w:color="auto" w:fill="F3F5F7"/>
            <w:tcMar>
              <w:top w:w="90" w:type="dxa"/>
              <w:left w:w="110" w:type="dxa"/>
              <w:bottom w:w="90" w:type="dxa"/>
              <w:right w:w="110" w:type="dxa"/>
            </w:tcMar>
          </w:tcPr>
          <w:p w14:paraId="02D49C09" w14:textId="77777777" w:rsidR="00E10BFE" w:rsidRDefault="00000000">
            <w:pPr>
              <w:spacing w:after="0"/>
            </w:pPr>
            <w:r>
              <w:rPr>
                <w:b/>
                <w:sz w:val="18"/>
              </w:rPr>
              <w:t>Food service</w:t>
            </w:r>
          </w:p>
        </w:tc>
        <w:tc>
          <w:tcPr>
            <w:tcW w:w="8554" w:type="dxa"/>
            <w:tcMar>
              <w:top w:w="90" w:type="dxa"/>
              <w:left w:w="110" w:type="dxa"/>
              <w:bottom w:w="90" w:type="dxa"/>
              <w:right w:w="110" w:type="dxa"/>
            </w:tcMar>
          </w:tcPr>
          <w:p w14:paraId="3172B0F4" w14:textId="77777777" w:rsidR="00E10BFE" w:rsidRDefault="00000000">
            <w:pPr>
              <w:spacing w:after="0"/>
            </w:pPr>
            <w:r>
              <w:rPr>
                <w:sz w:val="18"/>
              </w:rPr>
              <w:t>State, county, or city health department. Ask about temporary food establishment permits, food-handler or manager certification, approved preparation locations, handwashing, water, wastewater, temperature control, sampling, and inspection requirements.</w:t>
            </w:r>
          </w:p>
        </w:tc>
      </w:tr>
      <w:tr w:rsidR="00E10BFE" w14:paraId="13CB79B1" w14:textId="77777777" w:rsidTr="00685EA8">
        <w:trPr>
          <w:jc w:val="center"/>
        </w:trPr>
        <w:tc>
          <w:tcPr>
            <w:tcW w:w="1980" w:type="dxa"/>
            <w:shd w:val="clear" w:color="auto" w:fill="F3F5F7"/>
            <w:tcMar>
              <w:top w:w="90" w:type="dxa"/>
              <w:left w:w="110" w:type="dxa"/>
              <w:bottom w:w="90" w:type="dxa"/>
              <w:right w:w="110" w:type="dxa"/>
            </w:tcMar>
          </w:tcPr>
          <w:p w14:paraId="2032B037" w14:textId="77777777" w:rsidR="00E10BFE" w:rsidRDefault="00000000">
            <w:pPr>
              <w:spacing w:after="0"/>
            </w:pPr>
            <w:r>
              <w:rPr>
                <w:b/>
                <w:sz w:val="18"/>
              </w:rPr>
              <w:t>Business licensing</w:t>
            </w:r>
          </w:p>
        </w:tc>
        <w:tc>
          <w:tcPr>
            <w:tcW w:w="8554" w:type="dxa"/>
            <w:tcMar>
              <w:top w:w="90" w:type="dxa"/>
              <w:left w:w="110" w:type="dxa"/>
              <w:bottom w:w="90" w:type="dxa"/>
              <w:right w:w="110" w:type="dxa"/>
            </w:tcMar>
          </w:tcPr>
          <w:p w14:paraId="539EF28A" w14:textId="77777777" w:rsidR="00E10BFE" w:rsidRDefault="00000000">
            <w:pPr>
              <w:spacing w:after="0"/>
            </w:pPr>
            <w:r>
              <w:rPr>
                <w:sz w:val="18"/>
              </w:rPr>
              <w:t>State business portal or Secretary of State plus the city/county licensing office. Determine whether the business or event activity requires registration, a local business license, vending license, or temporary-event permit.</w:t>
            </w:r>
          </w:p>
        </w:tc>
      </w:tr>
      <w:tr w:rsidR="00E10BFE" w14:paraId="1A20425A" w14:textId="77777777" w:rsidTr="00685EA8">
        <w:trPr>
          <w:jc w:val="center"/>
        </w:trPr>
        <w:tc>
          <w:tcPr>
            <w:tcW w:w="1980" w:type="dxa"/>
            <w:shd w:val="clear" w:color="auto" w:fill="F3F5F7"/>
            <w:tcMar>
              <w:top w:w="90" w:type="dxa"/>
              <w:left w:w="110" w:type="dxa"/>
              <w:bottom w:w="90" w:type="dxa"/>
              <w:right w:w="110" w:type="dxa"/>
            </w:tcMar>
          </w:tcPr>
          <w:p w14:paraId="000841D0" w14:textId="77777777" w:rsidR="00E10BFE" w:rsidRDefault="00000000">
            <w:pPr>
              <w:spacing w:after="0"/>
            </w:pPr>
            <w:r>
              <w:rPr>
                <w:b/>
                <w:sz w:val="18"/>
              </w:rPr>
              <w:t>Sales tax</w:t>
            </w:r>
          </w:p>
        </w:tc>
        <w:tc>
          <w:tcPr>
            <w:tcW w:w="8554" w:type="dxa"/>
            <w:tcMar>
              <w:top w:w="90" w:type="dxa"/>
              <w:left w:w="110" w:type="dxa"/>
              <w:bottom w:w="90" w:type="dxa"/>
              <w:right w:w="110" w:type="dxa"/>
            </w:tcMar>
          </w:tcPr>
          <w:p w14:paraId="57D1791D" w14:textId="77777777" w:rsidR="00E10BFE" w:rsidRDefault="00000000">
            <w:pPr>
              <w:spacing w:after="0"/>
            </w:pPr>
            <w:r>
              <w:rPr>
                <w:sz w:val="18"/>
              </w:rPr>
              <w:t>State Department of Revenue, Taxation, or equivalent agency. Confirm whether registration is required, which sales are taxable, the applicable rate, filing obligations, and rules for temporary sellers.</w:t>
            </w:r>
          </w:p>
        </w:tc>
      </w:tr>
      <w:tr w:rsidR="00E10BFE" w14:paraId="75111192" w14:textId="77777777" w:rsidTr="00685EA8">
        <w:trPr>
          <w:jc w:val="center"/>
        </w:trPr>
        <w:tc>
          <w:tcPr>
            <w:tcW w:w="1980" w:type="dxa"/>
            <w:shd w:val="clear" w:color="auto" w:fill="F3F5F7"/>
            <w:tcMar>
              <w:top w:w="90" w:type="dxa"/>
              <w:left w:w="110" w:type="dxa"/>
              <w:bottom w:w="90" w:type="dxa"/>
              <w:right w:w="110" w:type="dxa"/>
            </w:tcMar>
          </w:tcPr>
          <w:p w14:paraId="629E3EA0" w14:textId="77777777" w:rsidR="00E10BFE" w:rsidRDefault="00000000">
            <w:pPr>
              <w:spacing w:after="0"/>
            </w:pPr>
            <w:r>
              <w:rPr>
                <w:b/>
                <w:sz w:val="18"/>
              </w:rPr>
              <w:t>Alcohol</w:t>
            </w:r>
          </w:p>
        </w:tc>
        <w:tc>
          <w:tcPr>
            <w:tcW w:w="8554" w:type="dxa"/>
            <w:tcMar>
              <w:top w:w="90" w:type="dxa"/>
              <w:left w:w="110" w:type="dxa"/>
              <w:bottom w:w="90" w:type="dxa"/>
              <w:right w:w="110" w:type="dxa"/>
            </w:tcMar>
          </w:tcPr>
          <w:p w14:paraId="6BD56859" w14:textId="77777777" w:rsidR="00E10BFE" w:rsidRDefault="00000000">
            <w:pPr>
              <w:spacing w:after="0"/>
            </w:pPr>
            <w:r>
              <w:rPr>
                <w:sz w:val="18"/>
              </w:rPr>
              <w:t>State alcohol beverage control authority and any required local licensing authority. Temporary alcohol permits, caterer permits, server requirements, hours, and service restrictions vary widely.</w:t>
            </w:r>
          </w:p>
        </w:tc>
      </w:tr>
      <w:tr w:rsidR="00E10BFE" w14:paraId="38465CDA" w14:textId="77777777" w:rsidTr="00685EA8">
        <w:trPr>
          <w:jc w:val="center"/>
        </w:trPr>
        <w:tc>
          <w:tcPr>
            <w:tcW w:w="1980" w:type="dxa"/>
            <w:shd w:val="clear" w:color="auto" w:fill="F3F5F7"/>
            <w:tcMar>
              <w:top w:w="90" w:type="dxa"/>
              <w:left w:w="110" w:type="dxa"/>
              <w:bottom w:w="90" w:type="dxa"/>
              <w:right w:w="110" w:type="dxa"/>
            </w:tcMar>
          </w:tcPr>
          <w:p w14:paraId="2ADBF5F7" w14:textId="77777777" w:rsidR="00E10BFE" w:rsidRDefault="00000000">
            <w:pPr>
              <w:spacing w:after="0"/>
            </w:pPr>
            <w:r>
              <w:rPr>
                <w:b/>
                <w:sz w:val="18"/>
              </w:rPr>
              <w:t>Fire and life safety</w:t>
            </w:r>
          </w:p>
        </w:tc>
        <w:tc>
          <w:tcPr>
            <w:tcW w:w="8554" w:type="dxa"/>
            <w:tcMar>
              <w:top w:w="90" w:type="dxa"/>
              <w:left w:w="110" w:type="dxa"/>
              <w:bottom w:w="90" w:type="dxa"/>
              <w:right w:w="110" w:type="dxa"/>
            </w:tcMar>
          </w:tcPr>
          <w:p w14:paraId="5377DC2C" w14:textId="77777777" w:rsidR="00E10BFE" w:rsidRDefault="00000000">
            <w:pPr>
              <w:spacing w:after="0"/>
            </w:pPr>
            <w:r>
              <w:rPr>
                <w:sz w:val="18"/>
              </w:rPr>
              <w:t>Local fire marshal or fire department. Confirm rules for occupancy, propane, cooking equipment, open flame, generators, tents/canopies, heating equipment, extinguishers, and emergency access.</w:t>
            </w:r>
          </w:p>
        </w:tc>
      </w:tr>
      <w:tr w:rsidR="00E10BFE" w14:paraId="76E2D615" w14:textId="77777777" w:rsidTr="00685EA8">
        <w:trPr>
          <w:jc w:val="center"/>
        </w:trPr>
        <w:tc>
          <w:tcPr>
            <w:tcW w:w="1980" w:type="dxa"/>
            <w:shd w:val="clear" w:color="auto" w:fill="F3F5F7"/>
            <w:tcMar>
              <w:top w:w="90" w:type="dxa"/>
              <w:left w:w="110" w:type="dxa"/>
              <w:bottom w:w="90" w:type="dxa"/>
              <w:right w:w="110" w:type="dxa"/>
            </w:tcMar>
          </w:tcPr>
          <w:p w14:paraId="7E64DB00" w14:textId="77777777" w:rsidR="00E10BFE" w:rsidRDefault="00000000">
            <w:pPr>
              <w:spacing w:after="0"/>
            </w:pPr>
            <w:r>
              <w:rPr>
                <w:b/>
                <w:sz w:val="18"/>
              </w:rPr>
              <w:t>Public property</w:t>
            </w:r>
          </w:p>
        </w:tc>
        <w:tc>
          <w:tcPr>
            <w:tcW w:w="8554" w:type="dxa"/>
            <w:tcMar>
              <w:top w:w="90" w:type="dxa"/>
              <w:left w:w="110" w:type="dxa"/>
              <w:bottom w:w="90" w:type="dxa"/>
              <w:right w:w="110" w:type="dxa"/>
            </w:tcMar>
          </w:tcPr>
          <w:p w14:paraId="7E329DF6" w14:textId="77777777" w:rsidR="00E10BFE" w:rsidRDefault="00000000">
            <w:pPr>
              <w:spacing w:after="0"/>
            </w:pPr>
            <w:r>
              <w:rPr>
                <w:sz w:val="18"/>
              </w:rPr>
              <w:t>City, county, park, street, special-event, or public-space permitting office if the event uses a sidewalk, street, plaza, park, curb lane, or other public property.</w:t>
            </w:r>
          </w:p>
        </w:tc>
      </w:tr>
      <w:tr w:rsidR="00E10BFE" w14:paraId="67C829AD" w14:textId="77777777" w:rsidTr="00685EA8">
        <w:trPr>
          <w:jc w:val="center"/>
        </w:trPr>
        <w:tc>
          <w:tcPr>
            <w:tcW w:w="1980" w:type="dxa"/>
            <w:shd w:val="clear" w:color="auto" w:fill="F3F5F7"/>
            <w:tcMar>
              <w:top w:w="90" w:type="dxa"/>
              <w:left w:w="110" w:type="dxa"/>
              <w:bottom w:w="90" w:type="dxa"/>
              <w:right w:w="110" w:type="dxa"/>
            </w:tcMar>
          </w:tcPr>
          <w:p w14:paraId="773BDD3C" w14:textId="77777777" w:rsidR="00E10BFE" w:rsidRDefault="00000000">
            <w:pPr>
              <w:spacing w:after="0"/>
            </w:pPr>
            <w:r>
              <w:rPr>
                <w:b/>
                <w:sz w:val="18"/>
              </w:rPr>
              <w:t>Accessibility</w:t>
            </w:r>
          </w:p>
        </w:tc>
        <w:tc>
          <w:tcPr>
            <w:tcW w:w="8554" w:type="dxa"/>
            <w:tcMar>
              <w:top w:w="90" w:type="dxa"/>
              <w:left w:w="110" w:type="dxa"/>
              <w:bottom w:w="90" w:type="dxa"/>
              <w:right w:w="110" w:type="dxa"/>
            </w:tcMar>
          </w:tcPr>
          <w:p w14:paraId="4EA33F81" w14:textId="77777777" w:rsidR="00E10BFE" w:rsidRDefault="00000000">
            <w:pPr>
              <w:spacing w:after="0"/>
            </w:pPr>
            <w:r>
              <w:rPr>
                <w:sz w:val="18"/>
              </w:rPr>
              <w:t>Venue and event layout should provide access to goods and services for people with disabilities. Check entrances, routes, service counters, seating, restrooms, parking, and communications.</w:t>
            </w:r>
          </w:p>
        </w:tc>
      </w:tr>
      <w:tr w:rsidR="00E10BFE" w14:paraId="51AA7500" w14:textId="77777777" w:rsidTr="00685EA8">
        <w:trPr>
          <w:jc w:val="center"/>
        </w:trPr>
        <w:tc>
          <w:tcPr>
            <w:tcW w:w="1980" w:type="dxa"/>
            <w:shd w:val="clear" w:color="auto" w:fill="F3F5F7"/>
            <w:tcMar>
              <w:top w:w="90" w:type="dxa"/>
              <w:left w:w="110" w:type="dxa"/>
              <w:bottom w:w="90" w:type="dxa"/>
              <w:right w:w="110" w:type="dxa"/>
            </w:tcMar>
          </w:tcPr>
          <w:p w14:paraId="04F3CEAF" w14:textId="77777777" w:rsidR="00E10BFE" w:rsidRDefault="00000000">
            <w:pPr>
              <w:spacing w:after="0"/>
            </w:pPr>
            <w:r>
              <w:rPr>
                <w:b/>
                <w:sz w:val="18"/>
              </w:rPr>
              <w:t>Labor</w:t>
            </w:r>
          </w:p>
        </w:tc>
        <w:tc>
          <w:tcPr>
            <w:tcW w:w="8554" w:type="dxa"/>
            <w:tcMar>
              <w:top w:w="90" w:type="dxa"/>
              <w:left w:w="110" w:type="dxa"/>
              <w:bottom w:w="90" w:type="dxa"/>
              <w:right w:w="110" w:type="dxa"/>
            </w:tcMar>
          </w:tcPr>
          <w:p w14:paraId="184CB438" w14:textId="77777777" w:rsidR="00E10BFE" w:rsidRDefault="00000000">
            <w:pPr>
              <w:spacing w:after="0"/>
            </w:pPr>
            <w:r>
              <w:rPr>
                <w:sz w:val="18"/>
              </w:rPr>
              <w:t>State labor department plus applicable federal requirements. Confirm minimum wage, overtime, youth employment, required postings, payroll obligations, and worker classification when hiring event staff.</w:t>
            </w:r>
          </w:p>
        </w:tc>
      </w:tr>
      <w:tr w:rsidR="00E10BFE" w14:paraId="59333440" w14:textId="77777777" w:rsidTr="00685EA8">
        <w:trPr>
          <w:jc w:val="center"/>
        </w:trPr>
        <w:tc>
          <w:tcPr>
            <w:tcW w:w="1980" w:type="dxa"/>
            <w:shd w:val="clear" w:color="auto" w:fill="F3F5F7"/>
            <w:tcMar>
              <w:top w:w="90" w:type="dxa"/>
              <w:left w:w="110" w:type="dxa"/>
              <w:bottom w:w="90" w:type="dxa"/>
              <w:right w:w="110" w:type="dxa"/>
            </w:tcMar>
          </w:tcPr>
          <w:p w14:paraId="135764BC" w14:textId="77777777" w:rsidR="00E10BFE" w:rsidRDefault="00000000">
            <w:pPr>
              <w:spacing w:after="0"/>
            </w:pPr>
            <w:r>
              <w:rPr>
                <w:b/>
                <w:sz w:val="18"/>
              </w:rPr>
              <w:t>Insurance</w:t>
            </w:r>
          </w:p>
        </w:tc>
        <w:tc>
          <w:tcPr>
            <w:tcW w:w="8554" w:type="dxa"/>
            <w:tcMar>
              <w:top w:w="90" w:type="dxa"/>
              <w:left w:w="110" w:type="dxa"/>
              <w:bottom w:w="90" w:type="dxa"/>
              <w:right w:w="110" w:type="dxa"/>
            </w:tcMar>
          </w:tcPr>
          <w:p w14:paraId="1AC02AB5" w14:textId="77777777" w:rsidR="00E10BFE" w:rsidRDefault="00000000">
            <w:pPr>
              <w:spacing w:after="0"/>
            </w:pPr>
            <w:r>
              <w:rPr>
                <w:sz w:val="18"/>
              </w:rPr>
              <w:t>Venue, landlord, municipality, market organizer, or other contracting party may require general liability coverage and additional-insured wording.</w:t>
            </w:r>
          </w:p>
        </w:tc>
      </w:tr>
    </w:tbl>
    <w:p w14:paraId="1C685491" w14:textId="77777777" w:rsidR="00E10BFE" w:rsidRDefault="00E10BFE">
      <w:pPr>
        <w:spacing w:after="0"/>
      </w:pPr>
    </w:p>
    <w:p w14:paraId="698105EE" w14:textId="77777777" w:rsidR="00E10BFE" w:rsidRDefault="00000000">
      <w:pPr>
        <w:pStyle w:val="Heading2"/>
      </w:pPr>
      <w:r>
        <w:t>Current National Food-Safety Reference Point</w:t>
      </w:r>
    </w:p>
    <w:p w14:paraId="15CD71B3" w14:textId="77777777" w:rsidR="00E10BFE" w:rsidRDefault="00000000">
      <w:r>
        <w:t>As of September 2026, FDA identifies the 2022 Food Code as its most recent full Food Code edition, with the Supplement to the 2022 Food Code released in 2024. The FDA Food Code is a model, not a nationwide permit or automatically controlling law. States and local jurisdictions adopt and modify Food Code provisions differently, so the local health code still controls the event.</w:t>
      </w:r>
    </w:p>
    <w:tbl>
      <w:tblPr>
        <w:tblW w:w="0" w:type="auto"/>
        <w:jc w:val="center"/>
        <w:tblLayout w:type="fixed"/>
        <w:tblLook w:val="04A0" w:firstRow="1" w:lastRow="0" w:firstColumn="1" w:lastColumn="0" w:noHBand="0" w:noVBand="1"/>
      </w:tblPr>
      <w:tblGrid>
        <w:gridCol w:w="9994"/>
      </w:tblGrid>
      <w:tr w:rsidR="00E10BFE" w14:paraId="73B823E4" w14:textId="77777777">
        <w:trPr>
          <w:jc w:val="center"/>
        </w:trPr>
        <w:tc>
          <w:tcPr>
            <w:tcW w:w="9994" w:type="dxa"/>
            <w:shd w:val="clear" w:color="auto" w:fill="EAF1F8"/>
            <w:tcMar>
              <w:top w:w="110" w:type="dxa"/>
              <w:left w:w="145" w:type="dxa"/>
              <w:bottom w:w="110" w:type="dxa"/>
              <w:right w:w="145" w:type="dxa"/>
            </w:tcMar>
          </w:tcPr>
          <w:p w14:paraId="058FABA2" w14:textId="3166EC91" w:rsidR="00E10BFE" w:rsidRDefault="00000000">
            <w:pPr>
              <w:spacing w:after="0"/>
            </w:pPr>
            <w:r>
              <w:rPr>
                <w:b/>
                <w:color w:val="17365D"/>
                <w:sz w:val="20"/>
              </w:rPr>
              <w:t xml:space="preserve">Important: </w:t>
            </w:r>
            <w:r>
              <w:rPr>
                <w:sz w:val="20"/>
              </w:rPr>
              <w:t>Do</w:t>
            </w:r>
            <w:r w:rsidR="000F3160">
              <w:rPr>
                <w:sz w:val="20"/>
              </w:rPr>
              <w:t>n't tell a regulator the event is compliant just</w:t>
            </w:r>
            <w:r>
              <w:rPr>
                <w:sz w:val="20"/>
              </w:rPr>
              <w:t xml:space="preserve"> because it follows the FDA Food Code. Confirm which code edition and local rules the jurisdiction has actually adopted.</w:t>
            </w:r>
          </w:p>
        </w:tc>
      </w:tr>
    </w:tbl>
    <w:p w14:paraId="6287C67C" w14:textId="77777777" w:rsidR="00E10BFE" w:rsidRDefault="00000000" w:rsidP="001177A3">
      <w:pPr>
        <w:pStyle w:val="Heading1"/>
      </w:pPr>
      <w:r>
        <w:t>5. Build the Budget Before Making Commitments</w:t>
      </w:r>
    </w:p>
    <w:p w14:paraId="0DD666C8" w14:textId="77777777" w:rsidR="00E10BFE" w:rsidRDefault="00000000">
      <w:r>
        <w:t>Sales are not profit. Include every cost that exists because the event exists, including costs that are easy to overlook.</w:t>
      </w:r>
    </w:p>
    <w:p w14:paraId="7531B110" w14:textId="77777777" w:rsidR="00E10BFE" w:rsidRDefault="00000000" w:rsidP="000F3160">
      <w:pPr>
        <w:pStyle w:val="ListBullet"/>
        <w:numPr>
          <w:ilvl w:val="0"/>
          <w:numId w:val="10"/>
        </w:numPr>
        <w:spacing w:after="44"/>
      </w:pPr>
      <w:r>
        <w:t>Venue rental and deposits</w:t>
      </w:r>
    </w:p>
    <w:p w14:paraId="0E62ABAD" w14:textId="77777777" w:rsidR="00E10BFE" w:rsidRDefault="00000000" w:rsidP="000F3160">
      <w:pPr>
        <w:pStyle w:val="ListBullet"/>
        <w:numPr>
          <w:ilvl w:val="0"/>
          <w:numId w:val="10"/>
        </w:numPr>
        <w:spacing w:after="44"/>
      </w:pPr>
      <w:r>
        <w:t>Permits, licenses, and application fees</w:t>
      </w:r>
    </w:p>
    <w:p w14:paraId="7A60BEDF" w14:textId="77777777" w:rsidR="00E10BFE" w:rsidRDefault="00000000" w:rsidP="000F3160">
      <w:pPr>
        <w:pStyle w:val="ListBullet"/>
        <w:numPr>
          <w:ilvl w:val="0"/>
          <w:numId w:val="10"/>
        </w:numPr>
        <w:spacing w:after="44"/>
      </w:pPr>
      <w:r>
        <w:t>Insurance</w:t>
      </w:r>
    </w:p>
    <w:p w14:paraId="6C876599" w14:textId="77777777" w:rsidR="00E10BFE" w:rsidRDefault="00000000" w:rsidP="000F3160">
      <w:pPr>
        <w:pStyle w:val="ListBullet"/>
        <w:numPr>
          <w:ilvl w:val="0"/>
          <w:numId w:val="10"/>
        </w:numPr>
        <w:spacing w:after="44"/>
      </w:pPr>
      <w:r>
        <w:t xml:space="preserve">Food, beverages, merchandise, or </w:t>
      </w:r>
      <w:proofErr w:type="gramStart"/>
      <w:r>
        <w:t>other</w:t>
      </w:r>
      <w:proofErr w:type="gramEnd"/>
      <w:r>
        <w:t xml:space="preserve"> inventory</w:t>
      </w:r>
    </w:p>
    <w:p w14:paraId="215190B3" w14:textId="77777777" w:rsidR="00E10BFE" w:rsidRDefault="00000000" w:rsidP="000F3160">
      <w:pPr>
        <w:pStyle w:val="ListBullet"/>
        <w:numPr>
          <w:ilvl w:val="0"/>
          <w:numId w:val="10"/>
        </w:numPr>
        <w:spacing w:after="44"/>
      </w:pPr>
      <w:r>
        <w:t>Labor and payroll-related costs</w:t>
      </w:r>
    </w:p>
    <w:p w14:paraId="5128EF14" w14:textId="77777777" w:rsidR="00E10BFE" w:rsidRDefault="00000000" w:rsidP="000F3160">
      <w:pPr>
        <w:pStyle w:val="ListBullet"/>
        <w:numPr>
          <w:ilvl w:val="0"/>
          <w:numId w:val="10"/>
        </w:numPr>
        <w:spacing w:after="44"/>
      </w:pPr>
      <w:r>
        <w:t>Equipment, smallwares, rentals, tables, chairs, linens, tents, refrigeration, or displays</w:t>
      </w:r>
    </w:p>
    <w:p w14:paraId="2A68BA1E" w14:textId="77777777" w:rsidR="00E10BFE" w:rsidRDefault="00000000" w:rsidP="000F3160">
      <w:pPr>
        <w:pStyle w:val="ListBullet"/>
        <w:numPr>
          <w:ilvl w:val="0"/>
          <w:numId w:val="10"/>
        </w:numPr>
        <w:spacing w:after="44"/>
      </w:pPr>
      <w:r>
        <w:t>Packaging, disposables, serving supplies, bags, and labels</w:t>
      </w:r>
    </w:p>
    <w:p w14:paraId="0EB8E14D" w14:textId="77777777" w:rsidR="00E10BFE" w:rsidRDefault="00000000" w:rsidP="000F3160">
      <w:pPr>
        <w:pStyle w:val="ListBullet"/>
        <w:numPr>
          <w:ilvl w:val="0"/>
          <w:numId w:val="10"/>
        </w:numPr>
        <w:spacing w:after="44"/>
      </w:pPr>
      <w:r>
        <w:t>Transportation, delivery, parking, tolls, lodging, or travel when applicable</w:t>
      </w:r>
    </w:p>
    <w:p w14:paraId="65A7F6A0" w14:textId="77777777" w:rsidR="00E10BFE" w:rsidRDefault="00000000" w:rsidP="000F3160">
      <w:pPr>
        <w:pStyle w:val="ListBullet"/>
        <w:numPr>
          <w:ilvl w:val="0"/>
          <w:numId w:val="10"/>
        </w:numPr>
        <w:spacing w:after="44"/>
      </w:pPr>
      <w:r>
        <w:t>Ice, water, utilities, fuel, or generator costs</w:t>
      </w:r>
    </w:p>
    <w:p w14:paraId="77AD460B" w14:textId="77777777" w:rsidR="00E10BFE" w:rsidRDefault="00000000" w:rsidP="000F3160">
      <w:pPr>
        <w:pStyle w:val="ListBullet"/>
        <w:numPr>
          <w:ilvl w:val="0"/>
          <w:numId w:val="10"/>
        </w:numPr>
        <w:spacing w:after="44"/>
      </w:pPr>
      <w:r>
        <w:t>Decor, printing, signage, photography, and marketing</w:t>
      </w:r>
    </w:p>
    <w:p w14:paraId="4D64FFBE" w14:textId="77777777" w:rsidR="00E10BFE" w:rsidRDefault="00000000" w:rsidP="000F3160">
      <w:pPr>
        <w:pStyle w:val="ListBullet"/>
        <w:numPr>
          <w:ilvl w:val="0"/>
          <w:numId w:val="10"/>
        </w:numPr>
        <w:spacing w:after="44"/>
      </w:pPr>
      <w:r>
        <w:t>POS, ticketing, marketplace, and card-processing fees</w:t>
      </w:r>
    </w:p>
    <w:p w14:paraId="36B3FDA8" w14:textId="77777777" w:rsidR="00E10BFE" w:rsidRDefault="00000000" w:rsidP="000F3160">
      <w:pPr>
        <w:pStyle w:val="ListBullet"/>
        <w:numPr>
          <w:ilvl w:val="0"/>
          <w:numId w:val="10"/>
        </w:numPr>
        <w:spacing w:after="44"/>
      </w:pPr>
      <w:r>
        <w:t>Security, cleaning, waste removal, and contingency funds</w:t>
      </w:r>
    </w:p>
    <w:tbl>
      <w:tblPr>
        <w:tblStyle w:val="TableGrid"/>
        <w:tblW w:w="10987" w:type="dxa"/>
        <w:jc w:val="center"/>
        <w:tblLayout w:type="fixed"/>
        <w:tblLook w:val="04A0" w:firstRow="1" w:lastRow="0" w:firstColumn="1" w:lastColumn="0" w:noHBand="0" w:noVBand="1"/>
      </w:tblPr>
      <w:tblGrid>
        <w:gridCol w:w="1980"/>
        <w:gridCol w:w="9007"/>
      </w:tblGrid>
      <w:tr w:rsidR="00E10BFE" w14:paraId="57ED4601" w14:textId="77777777" w:rsidTr="00983DA0">
        <w:trPr>
          <w:jc w:val="center"/>
        </w:trPr>
        <w:tc>
          <w:tcPr>
            <w:tcW w:w="1980" w:type="dxa"/>
            <w:shd w:val="clear" w:color="auto" w:fill="17365D"/>
            <w:tcMar>
              <w:top w:w="90" w:type="dxa"/>
              <w:left w:w="110" w:type="dxa"/>
              <w:bottom w:w="90" w:type="dxa"/>
              <w:right w:w="110" w:type="dxa"/>
            </w:tcMar>
          </w:tcPr>
          <w:p w14:paraId="3216E382" w14:textId="77777777" w:rsidR="00E10BFE" w:rsidRDefault="00000000">
            <w:pPr>
              <w:spacing w:after="0"/>
            </w:pPr>
            <w:r>
              <w:rPr>
                <w:b/>
                <w:color w:val="FFFFFF"/>
                <w:sz w:val="18"/>
              </w:rPr>
              <w:t>Number</w:t>
            </w:r>
          </w:p>
        </w:tc>
        <w:tc>
          <w:tcPr>
            <w:tcW w:w="9007" w:type="dxa"/>
            <w:shd w:val="clear" w:color="auto" w:fill="17365D"/>
            <w:tcMar>
              <w:top w:w="90" w:type="dxa"/>
              <w:left w:w="110" w:type="dxa"/>
              <w:bottom w:w="90" w:type="dxa"/>
              <w:right w:w="110" w:type="dxa"/>
            </w:tcMar>
          </w:tcPr>
          <w:p w14:paraId="3322C506" w14:textId="77777777" w:rsidR="00E10BFE" w:rsidRDefault="00000000">
            <w:pPr>
              <w:spacing w:after="0"/>
            </w:pPr>
            <w:r>
              <w:rPr>
                <w:b/>
                <w:color w:val="FFFFFF"/>
                <w:sz w:val="18"/>
              </w:rPr>
              <w:t>What to calculate</w:t>
            </w:r>
          </w:p>
        </w:tc>
      </w:tr>
      <w:tr w:rsidR="00E10BFE" w14:paraId="1368AAE5" w14:textId="77777777" w:rsidTr="00983DA0">
        <w:trPr>
          <w:jc w:val="center"/>
        </w:trPr>
        <w:tc>
          <w:tcPr>
            <w:tcW w:w="1980" w:type="dxa"/>
            <w:shd w:val="clear" w:color="auto" w:fill="F3F5F7"/>
            <w:tcMar>
              <w:top w:w="90" w:type="dxa"/>
              <w:left w:w="110" w:type="dxa"/>
              <w:bottom w:w="90" w:type="dxa"/>
              <w:right w:w="110" w:type="dxa"/>
            </w:tcMar>
          </w:tcPr>
          <w:p w14:paraId="44A37180" w14:textId="77777777" w:rsidR="00E10BFE" w:rsidRDefault="00000000">
            <w:pPr>
              <w:spacing w:after="0"/>
            </w:pPr>
            <w:r>
              <w:rPr>
                <w:b/>
                <w:sz w:val="18"/>
              </w:rPr>
              <w:t>Projected sales</w:t>
            </w:r>
          </w:p>
        </w:tc>
        <w:tc>
          <w:tcPr>
            <w:tcW w:w="9007" w:type="dxa"/>
            <w:tcMar>
              <w:top w:w="90" w:type="dxa"/>
              <w:left w:w="110" w:type="dxa"/>
              <w:bottom w:w="90" w:type="dxa"/>
              <w:right w:w="110" w:type="dxa"/>
            </w:tcMar>
          </w:tcPr>
          <w:p w14:paraId="4D460CDF" w14:textId="77777777" w:rsidR="00E10BFE" w:rsidRDefault="00000000">
            <w:pPr>
              <w:spacing w:after="0"/>
            </w:pPr>
            <w:r>
              <w:rPr>
                <w:sz w:val="18"/>
              </w:rPr>
              <w:t>Expected transactions x expected average check.</w:t>
            </w:r>
          </w:p>
        </w:tc>
      </w:tr>
      <w:tr w:rsidR="00E10BFE" w14:paraId="7A82AB07" w14:textId="77777777" w:rsidTr="00983DA0">
        <w:trPr>
          <w:jc w:val="center"/>
        </w:trPr>
        <w:tc>
          <w:tcPr>
            <w:tcW w:w="1980" w:type="dxa"/>
            <w:shd w:val="clear" w:color="auto" w:fill="F3F5F7"/>
            <w:tcMar>
              <w:top w:w="90" w:type="dxa"/>
              <w:left w:w="110" w:type="dxa"/>
              <w:bottom w:w="90" w:type="dxa"/>
              <w:right w:w="110" w:type="dxa"/>
            </w:tcMar>
          </w:tcPr>
          <w:p w14:paraId="3170CB8A" w14:textId="77777777" w:rsidR="00E10BFE" w:rsidRDefault="00000000">
            <w:pPr>
              <w:spacing w:after="0"/>
            </w:pPr>
            <w:r>
              <w:rPr>
                <w:b/>
                <w:sz w:val="18"/>
              </w:rPr>
              <w:t>Total event cost</w:t>
            </w:r>
          </w:p>
        </w:tc>
        <w:tc>
          <w:tcPr>
            <w:tcW w:w="9007" w:type="dxa"/>
            <w:tcMar>
              <w:top w:w="90" w:type="dxa"/>
              <w:left w:w="110" w:type="dxa"/>
              <w:bottom w:w="90" w:type="dxa"/>
              <w:right w:w="110" w:type="dxa"/>
            </w:tcMar>
          </w:tcPr>
          <w:p w14:paraId="4F3D3763" w14:textId="77777777" w:rsidR="00E10BFE" w:rsidRDefault="00000000">
            <w:pPr>
              <w:spacing w:after="0"/>
            </w:pPr>
            <w:r>
              <w:rPr>
                <w:sz w:val="18"/>
              </w:rPr>
              <w:t>Fixed and variable costs combined.</w:t>
            </w:r>
          </w:p>
        </w:tc>
      </w:tr>
      <w:tr w:rsidR="00E10BFE" w14:paraId="49DD521B" w14:textId="77777777" w:rsidTr="00983DA0">
        <w:trPr>
          <w:jc w:val="center"/>
        </w:trPr>
        <w:tc>
          <w:tcPr>
            <w:tcW w:w="1980" w:type="dxa"/>
            <w:shd w:val="clear" w:color="auto" w:fill="F3F5F7"/>
            <w:tcMar>
              <w:top w:w="90" w:type="dxa"/>
              <w:left w:w="110" w:type="dxa"/>
              <w:bottom w:w="90" w:type="dxa"/>
              <w:right w:w="110" w:type="dxa"/>
            </w:tcMar>
          </w:tcPr>
          <w:p w14:paraId="01E81220" w14:textId="77777777" w:rsidR="00E10BFE" w:rsidRDefault="00000000">
            <w:pPr>
              <w:spacing w:after="0"/>
            </w:pPr>
            <w:r>
              <w:rPr>
                <w:b/>
                <w:sz w:val="18"/>
              </w:rPr>
              <w:t>Break-even point</w:t>
            </w:r>
          </w:p>
        </w:tc>
        <w:tc>
          <w:tcPr>
            <w:tcW w:w="9007" w:type="dxa"/>
            <w:tcMar>
              <w:top w:w="90" w:type="dxa"/>
              <w:left w:w="110" w:type="dxa"/>
              <w:bottom w:w="90" w:type="dxa"/>
              <w:right w:w="110" w:type="dxa"/>
            </w:tcMar>
          </w:tcPr>
          <w:p w14:paraId="3F0BFC5D" w14:textId="77777777" w:rsidR="00E10BFE" w:rsidRDefault="00000000">
            <w:pPr>
              <w:spacing w:after="0"/>
            </w:pPr>
            <w:r>
              <w:rPr>
                <w:sz w:val="18"/>
              </w:rPr>
              <w:t>The sales volume or number of transactions required to cover costs.</w:t>
            </w:r>
          </w:p>
        </w:tc>
      </w:tr>
      <w:tr w:rsidR="00E10BFE" w14:paraId="68B32AA0" w14:textId="77777777" w:rsidTr="00983DA0">
        <w:trPr>
          <w:jc w:val="center"/>
        </w:trPr>
        <w:tc>
          <w:tcPr>
            <w:tcW w:w="1980" w:type="dxa"/>
            <w:shd w:val="clear" w:color="auto" w:fill="F3F5F7"/>
            <w:tcMar>
              <w:top w:w="90" w:type="dxa"/>
              <w:left w:w="110" w:type="dxa"/>
              <w:bottom w:w="90" w:type="dxa"/>
              <w:right w:w="110" w:type="dxa"/>
            </w:tcMar>
          </w:tcPr>
          <w:p w14:paraId="4AA3A9E1" w14:textId="77777777" w:rsidR="00E10BFE" w:rsidRDefault="00000000">
            <w:pPr>
              <w:spacing w:after="0"/>
            </w:pPr>
            <w:r>
              <w:rPr>
                <w:b/>
                <w:sz w:val="18"/>
              </w:rPr>
              <w:t>Projected profit</w:t>
            </w:r>
          </w:p>
        </w:tc>
        <w:tc>
          <w:tcPr>
            <w:tcW w:w="9007" w:type="dxa"/>
            <w:tcMar>
              <w:top w:w="90" w:type="dxa"/>
              <w:left w:w="110" w:type="dxa"/>
              <w:bottom w:w="90" w:type="dxa"/>
              <w:right w:w="110" w:type="dxa"/>
            </w:tcMar>
          </w:tcPr>
          <w:p w14:paraId="03B8EEF0" w14:textId="77777777" w:rsidR="00E10BFE" w:rsidRDefault="00000000">
            <w:pPr>
              <w:spacing w:after="0"/>
            </w:pPr>
            <w:r>
              <w:rPr>
                <w:sz w:val="18"/>
              </w:rPr>
              <w:t>Projected sales minus total event costs.</w:t>
            </w:r>
          </w:p>
        </w:tc>
      </w:tr>
      <w:tr w:rsidR="00E10BFE" w14:paraId="6DF559E3" w14:textId="77777777" w:rsidTr="00983DA0">
        <w:trPr>
          <w:jc w:val="center"/>
        </w:trPr>
        <w:tc>
          <w:tcPr>
            <w:tcW w:w="1980" w:type="dxa"/>
            <w:shd w:val="clear" w:color="auto" w:fill="F3F5F7"/>
            <w:tcMar>
              <w:top w:w="90" w:type="dxa"/>
              <w:left w:w="110" w:type="dxa"/>
              <w:bottom w:w="90" w:type="dxa"/>
              <w:right w:w="110" w:type="dxa"/>
            </w:tcMar>
          </w:tcPr>
          <w:p w14:paraId="3C773A3B" w14:textId="77777777" w:rsidR="00E10BFE" w:rsidRDefault="00000000">
            <w:pPr>
              <w:spacing w:after="0"/>
            </w:pPr>
            <w:r>
              <w:rPr>
                <w:b/>
                <w:sz w:val="18"/>
              </w:rPr>
              <w:t>Low-sales scenario</w:t>
            </w:r>
          </w:p>
        </w:tc>
        <w:tc>
          <w:tcPr>
            <w:tcW w:w="9007" w:type="dxa"/>
            <w:tcMar>
              <w:top w:w="90" w:type="dxa"/>
              <w:left w:w="110" w:type="dxa"/>
              <w:bottom w:w="90" w:type="dxa"/>
              <w:right w:w="110" w:type="dxa"/>
            </w:tcMar>
          </w:tcPr>
          <w:p w14:paraId="4501B7CF" w14:textId="77777777" w:rsidR="00E10BFE" w:rsidRDefault="00000000">
            <w:pPr>
              <w:spacing w:after="0"/>
            </w:pPr>
            <w:r>
              <w:rPr>
                <w:sz w:val="18"/>
              </w:rPr>
              <w:t>Recalculate using attendance or sales below the original forecast to see whether the event remains manageable.</w:t>
            </w:r>
          </w:p>
        </w:tc>
      </w:tr>
    </w:tbl>
    <w:p w14:paraId="7886438F" w14:textId="77777777" w:rsidR="00E10BFE" w:rsidRDefault="00E10BFE">
      <w:pPr>
        <w:spacing w:after="0"/>
      </w:pPr>
    </w:p>
    <w:tbl>
      <w:tblPr>
        <w:tblW w:w="0" w:type="auto"/>
        <w:jc w:val="center"/>
        <w:tblLayout w:type="fixed"/>
        <w:tblLook w:val="04A0" w:firstRow="1" w:lastRow="0" w:firstColumn="1" w:lastColumn="0" w:noHBand="0" w:noVBand="1"/>
      </w:tblPr>
      <w:tblGrid>
        <w:gridCol w:w="9994"/>
      </w:tblGrid>
      <w:tr w:rsidR="00E10BFE" w14:paraId="51F52D77" w14:textId="77777777">
        <w:trPr>
          <w:jc w:val="center"/>
        </w:trPr>
        <w:tc>
          <w:tcPr>
            <w:tcW w:w="9994" w:type="dxa"/>
            <w:shd w:val="clear" w:color="auto" w:fill="EAF1F8"/>
            <w:tcMar>
              <w:top w:w="110" w:type="dxa"/>
              <w:left w:w="145" w:type="dxa"/>
              <w:bottom w:w="110" w:type="dxa"/>
              <w:right w:w="145" w:type="dxa"/>
            </w:tcMar>
          </w:tcPr>
          <w:p w14:paraId="51DACCF1" w14:textId="77777777" w:rsidR="00E10BFE" w:rsidRDefault="00000000">
            <w:pPr>
              <w:spacing w:after="0"/>
            </w:pPr>
            <w:r>
              <w:rPr>
                <w:b/>
                <w:color w:val="17365D"/>
                <w:sz w:val="20"/>
              </w:rPr>
              <w:t xml:space="preserve">Check the assumptions: </w:t>
            </w:r>
            <w:r>
              <w:rPr>
                <w:sz w:val="20"/>
              </w:rPr>
              <w:t>Budgets often look profitable because attendance is too optimistic, labor is undercounted, waste is ignored, or venue and permit costs are incomplete.</w:t>
            </w:r>
          </w:p>
        </w:tc>
      </w:tr>
    </w:tbl>
    <w:p w14:paraId="71E58C56" w14:textId="77777777" w:rsidR="00E10BFE" w:rsidRDefault="00000000" w:rsidP="001177A3">
      <w:pPr>
        <w:pStyle w:val="Heading1"/>
      </w:pPr>
      <w:r>
        <w:t>6. Design the Menu or Product Mix for the Event</w:t>
      </w:r>
    </w:p>
    <w:p w14:paraId="0E45C31F" w14:textId="77777777" w:rsidR="00E10BFE" w:rsidRDefault="00000000">
      <w:r>
        <w:t>The offering has to fit the event's space, time, equipment, labor, storage, and customer flow. Keep the selection large enough to be appealing but small enough to execute consistently.</w:t>
      </w:r>
    </w:p>
    <w:p w14:paraId="255B23C0" w14:textId="77777777" w:rsidR="00E10BFE" w:rsidRDefault="00000000" w:rsidP="000F3160">
      <w:pPr>
        <w:pStyle w:val="ListBullet"/>
        <w:numPr>
          <w:ilvl w:val="0"/>
          <w:numId w:val="14"/>
        </w:numPr>
        <w:spacing w:after="44"/>
      </w:pPr>
      <w:r>
        <w:t>Know the cost, selling price, portion or unit size, expected quantity sold, and expected margin for every item.</w:t>
      </w:r>
    </w:p>
    <w:p w14:paraId="34774C06" w14:textId="77777777" w:rsidR="00E10BFE" w:rsidRDefault="00000000" w:rsidP="000F3160">
      <w:pPr>
        <w:pStyle w:val="ListBullet"/>
        <w:numPr>
          <w:ilvl w:val="0"/>
          <w:numId w:val="14"/>
        </w:numPr>
        <w:spacing w:after="44"/>
      </w:pPr>
      <w:r>
        <w:t>Identify preparation, storage, transport, cooking, holding, assembly, and packaging requirements.</w:t>
      </w:r>
    </w:p>
    <w:p w14:paraId="5FAC62C3" w14:textId="77777777" w:rsidR="00E10BFE" w:rsidRDefault="00000000" w:rsidP="000F3160">
      <w:pPr>
        <w:pStyle w:val="ListBullet"/>
        <w:numPr>
          <w:ilvl w:val="0"/>
          <w:numId w:val="14"/>
        </w:numPr>
        <w:spacing w:after="44"/>
      </w:pPr>
      <w:r>
        <w:t>For food, confirm where advance preparation is legally allowed; home preparation may not be permitted for many temporary food operations.</w:t>
      </w:r>
    </w:p>
    <w:p w14:paraId="7355B1D9" w14:textId="77777777" w:rsidR="00E10BFE" w:rsidRDefault="00000000" w:rsidP="000F3160">
      <w:pPr>
        <w:pStyle w:val="ListBullet"/>
        <w:numPr>
          <w:ilvl w:val="0"/>
          <w:numId w:val="14"/>
        </w:numPr>
        <w:spacing w:after="44"/>
      </w:pPr>
      <w:r>
        <w:t>Identify major allergens and how allergen information and cross-contact risks will be handled.</w:t>
      </w:r>
    </w:p>
    <w:p w14:paraId="3994B7F6" w14:textId="77777777" w:rsidR="00E10BFE" w:rsidRDefault="00000000" w:rsidP="000F3160">
      <w:pPr>
        <w:pStyle w:val="ListBullet"/>
        <w:numPr>
          <w:ilvl w:val="0"/>
          <w:numId w:val="14"/>
        </w:numPr>
        <w:spacing w:after="44"/>
      </w:pPr>
      <w:r>
        <w:t>Estimate maximum output per hour for items that require cooking or assembly during service.</w:t>
      </w:r>
    </w:p>
    <w:p w14:paraId="19622206" w14:textId="77777777" w:rsidR="00E10BFE" w:rsidRDefault="00000000" w:rsidP="000F3160">
      <w:pPr>
        <w:pStyle w:val="ListBullet"/>
        <w:numPr>
          <w:ilvl w:val="0"/>
          <w:numId w:val="14"/>
        </w:numPr>
        <w:spacing w:after="44"/>
      </w:pPr>
      <w:r>
        <w:t>Decide what will happen when an item sells faster or slower than forecast.</w:t>
      </w:r>
    </w:p>
    <w:p w14:paraId="64C008DC" w14:textId="77777777" w:rsidR="00E10BFE" w:rsidRDefault="00000000" w:rsidP="000F3160">
      <w:pPr>
        <w:pStyle w:val="ListBullet"/>
        <w:numPr>
          <w:ilvl w:val="0"/>
          <w:numId w:val="14"/>
        </w:numPr>
        <w:spacing w:after="44"/>
      </w:pPr>
      <w:r>
        <w:t>Avoid menu items that create a bottleneck unless the expected sales volume and staffing can support them.</w:t>
      </w:r>
    </w:p>
    <w:tbl>
      <w:tblPr>
        <w:tblW w:w="0" w:type="auto"/>
        <w:jc w:val="center"/>
        <w:tblLayout w:type="fixed"/>
        <w:tblLook w:val="04A0" w:firstRow="1" w:lastRow="0" w:firstColumn="1" w:lastColumn="0" w:noHBand="0" w:noVBand="1"/>
      </w:tblPr>
      <w:tblGrid>
        <w:gridCol w:w="9994"/>
      </w:tblGrid>
      <w:tr w:rsidR="00E10BFE" w14:paraId="219CF2D7" w14:textId="77777777">
        <w:trPr>
          <w:jc w:val="center"/>
        </w:trPr>
        <w:tc>
          <w:tcPr>
            <w:tcW w:w="9994" w:type="dxa"/>
            <w:shd w:val="clear" w:color="auto" w:fill="EAF1F8"/>
            <w:tcMar>
              <w:top w:w="110" w:type="dxa"/>
              <w:left w:w="145" w:type="dxa"/>
              <w:bottom w:w="110" w:type="dxa"/>
              <w:right w:w="145" w:type="dxa"/>
            </w:tcMar>
          </w:tcPr>
          <w:p w14:paraId="3620C11B" w14:textId="77777777" w:rsidR="00E10BFE" w:rsidRDefault="00000000">
            <w:pPr>
              <w:spacing w:after="0"/>
            </w:pPr>
            <w:r>
              <w:rPr>
                <w:b/>
                <w:color w:val="17365D"/>
                <w:sz w:val="20"/>
              </w:rPr>
              <w:t xml:space="preserve">Run the math: </w:t>
            </w:r>
            <w:r>
              <w:rPr>
                <w:sz w:val="20"/>
              </w:rPr>
              <w:t>If 120 guests are expected during a two-hour window but the service line can only complete 35 orders per hour, the menu, staffing, equipment, or sales model needs to change before event day.</w:t>
            </w:r>
          </w:p>
        </w:tc>
      </w:tr>
    </w:tbl>
    <w:p w14:paraId="78E0E847" w14:textId="77777777" w:rsidR="00E10BFE" w:rsidRDefault="00000000" w:rsidP="001177A3">
      <w:pPr>
        <w:pStyle w:val="Heading1"/>
      </w:pPr>
      <w:r>
        <w:t>7. Forecast Purchasing and Inventory</w:t>
      </w:r>
    </w:p>
    <w:p w14:paraId="673BDE0E" w14:textId="77777777" w:rsidR="00E10BFE" w:rsidRDefault="00000000">
      <w:r>
        <w:t>Base purchasing on expected attendance, likely order mix, yield, portion size, and a reasonable buffer. Social-media interest is not the same as a confirmed customer count; prepaid tickets and reservations usually provide stronger demand information.</w:t>
      </w:r>
    </w:p>
    <w:p w14:paraId="7EC2BF6F" w14:textId="77777777" w:rsidR="00E10BFE" w:rsidRDefault="00000000" w:rsidP="00983DA0">
      <w:pPr>
        <w:pStyle w:val="ListBullet"/>
        <w:numPr>
          <w:ilvl w:val="0"/>
          <w:numId w:val="15"/>
        </w:numPr>
        <w:spacing w:after="44"/>
      </w:pPr>
      <w:r>
        <w:t>Tie ingredient or product quantities directly to the sales forecast.</w:t>
      </w:r>
    </w:p>
    <w:p w14:paraId="10370B4D" w14:textId="77777777" w:rsidR="00E10BFE" w:rsidRDefault="00000000" w:rsidP="00983DA0">
      <w:pPr>
        <w:pStyle w:val="ListBullet"/>
        <w:numPr>
          <w:ilvl w:val="0"/>
          <w:numId w:val="15"/>
        </w:numPr>
        <w:spacing w:after="44"/>
      </w:pPr>
      <w:r>
        <w:t>Update purchasing quantities when the attendance forecast changes.</w:t>
      </w:r>
    </w:p>
    <w:p w14:paraId="2AB933C2" w14:textId="77777777" w:rsidR="00E10BFE" w:rsidRDefault="00000000" w:rsidP="00983DA0">
      <w:pPr>
        <w:pStyle w:val="ListBullet"/>
        <w:numPr>
          <w:ilvl w:val="0"/>
          <w:numId w:val="15"/>
        </w:numPr>
        <w:spacing w:after="44"/>
      </w:pPr>
      <w:r>
        <w:t>Include packaging, beverages, ice, garnishes, sanitation supplies, receipt paper, labels, gloves, trash bags, and other operating supplies.</w:t>
      </w:r>
    </w:p>
    <w:p w14:paraId="1E036874" w14:textId="77777777" w:rsidR="00E10BFE" w:rsidRDefault="00000000" w:rsidP="00983DA0">
      <w:pPr>
        <w:pStyle w:val="ListBullet"/>
        <w:numPr>
          <w:ilvl w:val="0"/>
          <w:numId w:val="15"/>
        </w:numPr>
        <w:spacing w:after="44"/>
      </w:pPr>
      <w:r>
        <w:t>Keep supplier invoices and receipts, especially for food and beverage products.</w:t>
      </w:r>
    </w:p>
    <w:p w14:paraId="03CAEEDB" w14:textId="77777777" w:rsidR="00E10BFE" w:rsidRDefault="00000000" w:rsidP="00983DA0">
      <w:pPr>
        <w:pStyle w:val="ListBullet"/>
        <w:numPr>
          <w:ilvl w:val="0"/>
          <w:numId w:val="15"/>
        </w:numPr>
        <w:spacing w:after="44"/>
      </w:pPr>
      <w:r>
        <w:t>Plan where inventory will be stored before, during, and after the event.</w:t>
      </w:r>
    </w:p>
    <w:p w14:paraId="1B39EA54" w14:textId="0238C827" w:rsidR="00E10BFE" w:rsidRDefault="00983DA0" w:rsidP="00983DA0">
      <w:pPr>
        <w:pStyle w:val="ListBullet"/>
        <w:numPr>
          <w:ilvl w:val="0"/>
          <w:numId w:val="15"/>
        </w:numPr>
        <w:spacing w:after="44"/>
      </w:pPr>
      <w:r>
        <w:t>Decide in advance how unopened inventory, usable leftovers, returns, and waste will be handled in accordance with applicable rules</w:t>
      </w:r>
      <w:r w:rsidR="00000000">
        <w:t>.</w:t>
      </w:r>
    </w:p>
    <w:p w14:paraId="17DF56C9" w14:textId="77777777" w:rsidR="00E10BFE" w:rsidRDefault="00000000" w:rsidP="001177A3">
      <w:pPr>
        <w:pStyle w:val="Heading1"/>
      </w:pPr>
      <w:r>
        <w:t>8. Confirm Vendors and Rentals in Writing</w:t>
      </w:r>
    </w:p>
    <w:p w14:paraId="6E110E52" w14:textId="77777777" w:rsidR="00E10BFE" w:rsidRDefault="00000000">
      <w:r>
        <w:t>For every outside vendor, rental company, photographer, entertainer, market organizer, or service provider, confirm the agreement in writing.</w:t>
      </w:r>
    </w:p>
    <w:p w14:paraId="1F5F4D90" w14:textId="77777777" w:rsidR="00E10BFE" w:rsidRDefault="00000000" w:rsidP="001177A3">
      <w:pPr>
        <w:pStyle w:val="ListBullet"/>
        <w:numPr>
          <w:ilvl w:val="0"/>
          <w:numId w:val="16"/>
        </w:numPr>
        <w:spacing w:after="44"/>
      </w:pPr>
      <w:r>
        <w:t>Exactly what is being provided and in what quantity.</w:t>
      </w:r>
    </w:p>
    <w:p w14:paraId="262F44D6" w14:textId="77777777" w:rsidR="00E10BFE" w:rsidRDefault="00000000" w:rsidP="001177A3">
      <w:pPr>
        <w:pStyle w:val="ListBullet"/>
        <w:numPr>
          <w:ilvl w:val="0"/>
          <w:numId w:val="16"/>
        </w:numPr>
        <w:spacing w:after="44"/>
      </w:pPr>
      <w:r>
        <w:t>Delivery, arrival, setup, service, breakdown, and pickup times.</w:t>
      </w:r>
    </w:p>
    <w:p w14:paraId="7E709011" w14:textId="77777777" w:rsidR="00E10BFE" w:rsidRDefault="00000000" w:rsidP="001177A3">
      <w:pPr>
        <w:pStyle w:val="ListBullet"/>
        <w:numPr>
          <w:ilvl w:val="0"/>
          <w:numId w:val="16"/>
        </w:numPr>
        <w:spacing w:after="44"/>
      </w:pPr>
      <w:r>
        <w:t>Who is responsible for setup and removal.</w:t>
      </w:r>
    </w:p>
    <w:p w14:paraId="3F53E392" w14:textId="77777777" w:rsidR="00E10BFE" w:rsidRDefault="00000000" w:rsidP="001177A3">
      <w:pPr>
        <w:pStyle w:val="ListBullet"/>
        <w:numPr>
          <w:ilvl w:val="0"/>
          <w:numId w:val="16"/>
        </w:numPr>
        <w:spacing w:after="44"/>
      </w:pPr>
      <w:r>
        <w:t>Power, water, space, internet, loading, or access requirements.</w:t>
      </w:r>
    </w:p>
    <w:p w14:paraId="104E3A93" w14:textId="77777777" w:rsidR="00E10BFE" w:rsidRDefault="00000000" w:rsidP="001177A3">
      <w:pPr>
        <w:pStyle w:val="ListBullet"/>
        <w:numPr>
          <w:ilvl w:val="0"/>
          <w:numId w:val="16"/>
        </w:numPr>
        <w:spacing w:after="44"/>
      </w:pPr>
      <w:r>
        <w:t>Deposit, final payment, cancellation, damage, and late-return terms.</w:t>
      </w:r>
    </w:p>
    <w:p w14:paraId="2429C769" w14:textId="77777777" w:rsidR="00E10BFE" w:rsidRDefault="00000000" w:rsidP="001177A3">
      <w:pPr>
        <w:pStyle w:val="ListBullet"/>
        <w:numPr>
          <w:ilvl w:val="0"/>
          <w:numId w:val="16"/>
        </w:numPr>
        <w:spacing w:after="44"/>
      </w:pPr>
      <w:r>
        <w:t>What happens if equipment is late, incomplete, damaged, or not working.</w:t>
      </w:r>
    </w:p>
    <w:p w14:paraId="71D3CED9" w14:textId="77777777" w:rsidR="00E10BFE" w:rsidRDefault="00000000" w:rsidP="001177A3">
      <w:pPr>
        <w:pStyle w:val="ListBullet"/>
        <w:numPr>
          <w:ilvl w:val="0"/>
          <w:numId w:val="16"/>
        </w:numPr>
        <w:spacing w:after="44"/>
      </w:pPr>
      <w:r>
        <w:t>Day-of contact information for the person who can solve a problem.</w:t>
      </w:r>
    </w:p>
    <w:p w14:paraId="65B35483" w14:textId="77777777" w:rsidR="00E10BFE" w:rsidRDefault="00000000" w:rsidP="001177A3">
      <w:pPr>
        <w:pStyle w:val="Heading1"/>
      </w:pPr>
      <w:r>
        <w:t>9. Staff the Work That Actually Has to Be Done</w:t>
      </w:r>
    </w:p>
    <w:p w14:paraId="2BBE2532" w14:textId="08773A4B" w:rsidR="00E10BFE" w:rsidRDefault="001177A3">
      <w:r>
        <w:t>When determining labor needs, count setup, preparation, service, payment, replenishment, guest assistance, cleaning, and breakdown</w:t>
      </w:r>
      <w:r w:rsidR="00000000">
        <w:t>. Do</w:t>
      </w:r>
      <w:r>
        <w:t xml:space="preserve">n't schedule one person to cover several critical functions at the same time unless </w:t>
      </w:r>
      <w:r w:rsidR="00000000">
        <w:t>sales volume genuinely allows it.</w:t>
      </w:r>
    </w:p>
    <w:p w14:paraId="38A5AF74" w14:textId="492E8A68" w:rsidR="00E10BFE" w:rsidRDefault="001177A3">
      <w:r>
        <w:t>Before opening, every staff member should know the arrival time, role, break plan, closing duties, who makes final decisions, how sold-out items are handled, allergen procedures, payment procedures, sanitation responsibilities, and emergency contacts.</w:t>
      </w:r>
    </w:p>
    <w:p w14:paraId="4748C923" w14:textId="77777777" w:rsidR="00E10BFE" w:rsidRDefault="00000000" w:rsidP="001177A3">
      <w:pPr>
        <w:pStyle w:val="Heading1"/>
      </w:pPr>
      <w:r>
        <w:t>10. Plan the Guest Flow</w:t>
      </w:r>
    </w:p>
    <w:p w14:paraId="4E590EF1" w14:textId="77777777" w:rsidR="00E10BFE" w:rsidRDefault="00000000">
      <w:r>
        <w:t>Walk through the event from the guest's perspective before setup is final: arrival, information/menu viewing, ordering, payment, waiting, pickup or seating, waste disposal, and exit.</w:t>
      </w:r>
    </w:p>
    <w:p w14:paraId="499F1B7A" w14:textId="77777777" w:rsidR="00E10BFE" w:rsidRDefault="00000000" w:rsidP="001177A3">
      <w:pPr>
        <w:pStyle w:val="ListBullet"/>
        <w:numPr>
          <w:ilvl w:val="0"/>
          <w:numId w:val="17"/>
        </w:numPr>
        <w:spacing w:after="44"/>
      </w:pPr>
      <w:r>
        <w:t>Keep ordering, pickup, and waiting areas from blocking each other.</w:t>
      </w:r>
    </w:p>
    <w:p w14:paraId="77EDEEAF" w14:textId="77777777" w:rsidR="00E10BFE" w:rsidRDefault="00000000" w:rsidP="001177A3">
      <w:pPr>
        <w:pStyle w:val="ListBullet"/>
        <w:numPr>
          <w:ilvl w:val="0"/>
          <w:numId w:val="17"/>
        </w:numPr>
        <w:spacing w:after="44"/>
      </w:pPr>
      <w:r>
        <w:t>Keep guests away from hot equipment, prep areas, storage, cables, generators, and staff traffic routes.</w:t>
      </w:r>
    </w:p>
    <w:p w14:paraId="7DEAA7D5" w14:textId="77777777" w:rsidR="00E10BFE" w:rsidRDefault="00000000" w:rsidP="001177A3">
      <w:pPr>
        <w:pStyle w:val="ListBullet"/>
        <w:numPr>
          <w:ilvl w:val="0"/>
          <w:numId w:val="17"/>
        </w:numPr>
        <w:spacing w:after="44"/>
      </w:pPr>
      <w:r>
        <w:t>Make prices, ordering instructions, allergens or required notices, and pickup directions easy to see.</w:t>
      </w:r>
    </w:p>
    <w:p w14:paraId="2E3584C0" w14:textId="77777777" w:rsidR="00E10BFE" w:rsidRDefault="00000000" w:rsidP="001177A3">
      <w:pPr>
        <w:pStyle w:val="ListBullet"/>
        <w:numPr>
          <w:ilvl w:val="0"/>
          <w:numId w:val="17"/>
        </w:numPr>
        <w:spacing w:after="44"/>
      </w:pPr>
      <w:r>
        <w:t>Make accessible routes, counters, seating, and restrooms part of the layout rather than an afterthought.</w:t>
      </w:r>
    </w:p>
    <w:p w14:paraId="563282A7" w14:textId="77777777" w:rsidR="00E10BFE" w:rsidRDefault="00000000" w:rsidP="001177A3">
      <w:pPr>
        <w:pStyle w:val="ListBullet"/>
        <w:numPr>
          <w:ilvl w:val="0"/>
          <w:numId w:val="17"/>
        </w:numPr>
        <w:spacing w:after="44"/>
      </w:pPr>
      <w:r>
        <w:t>Provide enough space for lines without blocking entrances, exits, neighboring vendors, or emergency access.</w:t>
      </w:r>
    </w:p>
    <w:p w14:paraId="6ACB36C1" w14:textId="77777777" w:rsidR="00E10BFE" w:rsidRDefault="00000000" w:rsidP="001177A3">
      <w:pPr>
        <w:pStyle w:val="Heading1"/>
      </w:pPr>
      <w:r>
        <w:t xml:space="preserve">11. Build Food Safety </w:t>
      </w:r>
      <w:proofErr w:type="gramStart"/>
      <w:r>
        <w:t>Into</w:t>
      </w:r>
      <w:proofErr w:type="gramEnd"/>
      <w:r>
        <w:t xml:space="preserve"> the Operation</w:t>
      </w:r>
    </w:p>
    <w:p w14:paraId="11006E25" w14:textId="02B8E7C4" w:rsidR="00E10BFE" w:rsidRDefault="00000000">
      <w:r>
        <w:t xml:space="preserve">For food and beverage pop-ups, </w:t>
      </w:r>
      <w:r w:rsidR="000F3160">
        <w:t xml:space="preserve">plan food safety </w:t>
      </w:r>
      <w:r>
        <w:t>into purchasing, transport, preparation, storage, holding, service, and cleanup.</w:t>
      </w:r>
    </w:p>
    <w:p w14:paraId="588E47CC" w14:textId="77777777" w:rsidR="00E10BFE" w:rsidRDefault="00000000" w:rsidP="001177A3">
      <w:pPr>
        <w:pStyle w:val="ListBullet"/>
        <w:numPr>
          <w:ilvl w:val="0"/>
          <w:numId w:val="18"/>
        </w:numPr>
        <w:spacing w:after="44"/>
      </w:pPr>
      <w:r>
        <w:t>Use approved food sources and maintain supplier records.</w:t>
      </w:r>
    </w:p>
    <w:p w14:paraId="65654C73" w14:textId="77777777" w:rsidR="00E10BFE" w:rsidRDefault="00000000" w:rsidP="001177A3">
      <w:pPr>
        <w:pStyle w:val="ListBullet"/>
        <w:numPr>
          <w:ilvl w:val="0"/>
          <w:numId w:val="18"/>
        </w:numPr>
        <w:spacing w:after="44"/>
      </w:pPr>
      <w:r>
        <w:t>Keep raw foods separated from ready-to-eat foods.</w:t>
      </w:r>
    </w:p>
    <w:p w14:paraId="7A32D4D4" w14:textId="77777777" w:rsidR="00E10BFE" w:rsidRDefault="00000000" w:rsidP="001177A3">
      <w:pPr>
        <w:pStyle w:val="ListBullet"/>
        <w:numPr>
          <w:ilvl w:val="0"/>
          <w:numId w:val="18"/>
        </w:numPr>
        <w:spacing w:after="44"/>
      </w:pPr>
      <w:r>
        <w:t>Plan cold holding, hot holding, temperature monitoring, handwashing, sanitizing, and wastewater disposal.</w:t>
      </w:r>
    </w:p>
    <w:p w14:paraId="0B1BCF4A" w14:textId="77777777" w:rsidR="00E10BFE" w:rsidRDefault="00000000" w:rsidP="001177A3">
      <w:pPr>
        <w:pStyle w:val="ListBullet"/>
        <w:numPr>
          <w:ilvl w:val="0"/>
          <w:numId w:val="18"/>
        </w:numPr>
        <w:spacing w:after="44"/>
      </w:pPr>
      <w:r>
        <w:t>Bring calibrated or verified thermometers, sanitizer, appropriate test strips, soap, paper towels, cleaning cloths, and sufficient food-safe containers.</w:t>
      </w:r>
    </w:p>
    <w:p w14:paraId="44EC108A" w14:textId="77777777" w:rsidR="00E10BFE" w:rsidRDefault="00000000" w:rsidP="001177A3">
      <w:pPr>
        <w:pStyle w:val="ListBullet"/>
        <w:numPr>
          <w:ilvl w:val="0"/>
          <w:numId w:val="18"/>
        </w:numPr>
        <w:spacing w:after="44"/>
      </w:pPr>
      <w:r>
        <w:t>Protect food, ice, single-service items, and food-contact equipment from weather, customers, dust, pests, and contamination.</w:t>
      </w:r>
    </w:p>
    <w:p w14:paraId="2F4362FD" w14:textId="77777777" w:rsidR="00E10BFE" w:rsidRDefault="00000000" w:rsidP="001177A3">
      <w:pPr>
        <w:pStyle w:val="ListBullet"/>
        <w:numPr>
          <w:ilvl w:val="0"/>
          <w:numId w:val="18"/>
        </w:numPr>
        <w:spacing w:after="44"/>
      </w:pPr>
      <w:r>
        <w:t>Know the local rules for time as a public-health control, sampling, cooling, reheating, leftovers, and food prepared off-site.</w:t>
      </w:r>
    </w:p>
    <w:p w14:paraId="47394A1E" w14:textId="77777777" w:rsidR="00E10BFE" w:rsidRDefault="00000000" w:rsidP="001177A3">
      <w:pPr>
        <w:pStyle w:val="ListBullet"/>
        <w:numPr>
          <w:ilvl w:val="0"/>
          <w:numId w:val="18"/>
        </w:numPr>
        <w:spacing w:after="44"/>
      </w:pPr>
      <w:r>
        <w:t>Know what must be discarded if safe temperature control is lost.</w:t>
      </w:r>
    </w:p>
    <w:p w14:paraId="7BDD424D" w14:textId="77777777" w:rsidR="00E10BFE" w:rsidRDefault="00000000" w:rsidP="001177A3">
      <w:pPr>
        <w:pStyle w:val="Heading1"/>
      </w:pPr>
      <w:r>
        <w:t>12. Market the Event Based on Real Capacity</w:t>
      </w:r>
    </w:p>
    <w:p w14:paraId="72458944" w14:textId="77777777" w:rsidR="00E10BFE" w:rsidRDefault="00000000">
      <w:r>
        <w:t>Promotion should tell the customer what the event is, when and where it occurs, what is available, how purchasing or reservations work, and whether quantities or seating are limited.</w:t>
      </w:r>
    </w:p>
    <w:p w14:paraId="70AFFB4C" w14:textId="77777777" w:rsidR="00E10BFE" w:rsidRDefault="00000000" w:rsidP="001177A3">
      <w:pPr>
        <w:pStyle w:val="ListBullet"/>
        <w:numPr>
          <w:ilvl w:val="0"/>
          <w:numId w:val="19"/>
        </w:numPr>
        <w:spacing w:after="44"/>
      </w:pPr>
      <w:r>
        <w:t>Use a promotion schedule rather than relying on one announcement.</w:t>
      </w:r>
    </w:p>
    <w:p w14:paraId="2A488DB8" w14:textId="77777777" w:rsidR="00E10BFE" w:rsidRDefault="00000000" w:rsidP="001177A3">
      <w:pPr>
        <w:pStyle w:val="ListBullet"/>
        <w:numPr>
          <w:ilvl w:val="0"/>
          <w:numId w:val="19"/>
        </w:numPr>
        <w:spacing w:after="44"/>
      </w:pPr>
      <w:r>
        <w:t>Track actual ticket sales, reservations, preorders, or conversions rather than judging demand only by likes, views, or shares.</w:t>
      </w:r>
    </w:p>
    <w:p w14:paraId="3C71901B" w14:textId="77777777" w:rsidR="00E10BFE" w:rsidRDefault="00000000" w:rsidP="001177A3">
      <w:pPr>
        <w:pStyle w:val="ListBullet"/>
        <w:numPr>
          <w:ilvl w:val="0"/>
          <w:numId w:val="19"/>
        </w:numPr>
        <w:spacing w:after="44"/>
      </w:pPr>
      <w:r>
        <w:t>Do not sell more reservations or tickets than the service model and venue can safely handle.</w:t>
      </w:r>
    </w:p>
    <w:p w14:paraId="6BB2217D" w14:textId="77777777" w:rsidR="00E10BFE" w:rsidRDefault="00000000" w:rsidP="001177A3">
      <w:pPr>
        <w:pStyle w:val="ListBullet"/>
        <w:numPr>
          <w:ilvl w:val="0"/>
          <w:numId w:val="19"/>
        </w:numPr>
        <w:spacing w:after="44"/>
      </w:pPr>
      <w:r>
        <w:t>Keep advertised prices, hours, location, refund terms, menu claims, and availability accurate.</w:t>
      </w:r>
    </w:p>
    <w:p w14:paraId="2BBBB5C4" w14:textId="77777777" w:rsidR="00E10BFE" w:rsidRDefault="00000000" w:rsidP="001177A3">
      <w:pPr>
        <w:pStyle w:val="ListBullet"/>
        <w:numPr>
          <w:ilvl w:val="0"/>
          <w:numId w:val="19"/>
        </w:numPr>
        <w:spacing w:after="44"/>
      </w:pPr>
      <w:r>
        <w:t>If a venue, vendor, or permit is not confirmed, avoid advertising it as final.</w:t>
      </w:r>
    </w:p>
    <w:p w14:paraId="5B38F5B2" w14:textId="77777777" w:rsidR="00E10BFE" w:rsidRDefault="00000000" w:rsidP="001177A3">
      <w:pPr>
        <w:pStyle w:val="Heading1"/>
      </w:pPr>
      <w:r>
        <w:t>13. Prepare for Problems Before Event Day</w:t>
      </w:r>
    </w:p>
    <w:p w14:paraId="3336912C" w14:textId="77777777" w:rsidR="00E10BFE" w:rsidRDefault="00000000">
      <w:r>
        <w:t>Decide in advance how the event will respond to predictable problems so decisions do not have to be invented during service.</w:t>
      </w:r>
    </w:p>
    <w:p w14:paraId="4F6C00DA" w14:textId="77777777" w:rsidR="00E10BFE" w:rsidRDefault="00000000" w:rsidP="001177A3">
      <w:pPr>
        <w:pStyle w:val="ListBullet"/>
        <w:numPr>
          <w:ilvl w:val="0"/>
          <w:numId w:val="20"/>
        </w:numPr>
        <w:spacing w:after="44"/>
      </w:pPr>
      <w:r>
        <w:t>Staff absence</w:t>
      </w:r>
    </w:p>
    <w:p w14:paraId="7D698A0D" w14:textId="77777777" w:rsidR="00E10BFE" w:rsidRDefault="00000000" w:rsidP="001177A3">
      <w:pPr>
        <w:pStyle w:val="ListBullet"/>
        <w:numPr>
          <w:ilvl w:val="0"/>
          <w:numId w:val="20"/>
        </w:numPr>
        <w:spacing w:after="44"/>
      </w:pPr>
      <w:r>
        <w:t>Late or incomplete delivery</w:t>
      </w:r>
    </w:p>
    <w:p w14:paraId="54E21347" w14:textId="77777777" w:rsidR="00E10BFE" w:rsidRDefault="00000000" w:rsidP="001177A3">
      <w:pPr>
        <w:pStyle w:val="ListBullet"/>
        <w:numPr>
          <w:ilvl w:val="0"/>
          <w:numId w:val="20"/>
        </w:numPr>
        <w:spacing w:after="44"/>
      </w:pPr>
      <w:r>
        <w:t>Equipment failure</w:t>
      </w:r>
    </w:p>
    <w:p w14:paraId="000A5CB2" w14:textId="77777777" w:rsidR="00E10BFE" w:rsidRDefault="00000000" w:rsidP="001177A3">
      <w:pPr>
        <w:pStyle w:val="ListBullet"/>
        <w:numPr>
          <w:ilvl w:val="0"/>
          <w:numId w:val="20"/>
        </w:numPr>
        <w:spacing w:after="44"/>
      </w:pPr>
      <w:r>
        <w:t>Power or internet failure</w:t>
      </w:r>
    </w:p>
    <w:p w14:paraId="2892BA3C" w14:textId="77777777" w:rsidR="00E10BFE" w:rsidRDefault="00000000" w:rsidP="001177A3">
      <w:pPr>
        <w:pStyle w:val="ListBullet"/>
        <w:numPr>
          <w:ilvl w:val="0"/>
          <w:numId w:val="20"/>
        </w:numPr>
        <w:spacing w:after="44"/>
      </w:pPr>
      <w:r>
        <w:t>POS or card-processing failure</w:t>
      </w:r>
    </w:p>
    <w:p w14:paraId="1FFF51AA" w14:textId="77777777" w:rsidR="00E10BFE" w:rsidRDefault="00000000" w:rsidP="001177A3">
      <w:pPr>
        <w:pStyle w:val="ListBullet"/>
        <w:numPr>
          <w:ilvl w:val="0"/>
          <w:numId w:val="20"/>
        </w:numPr>
        <w:spacing w:after="44"/>
      </w:pPr>
      <w:r>
        <w:t>Low attendance</w:t>
      </w:r>
    </w:p>
    <w:p w14:paraId="20EC9AE9" w14:textId="77777777" w:rsidR="00E10BFE" w:rsidRDefault="00000000" w:rsidP="001177A3">
      <w:pPr>
        <w:pStyle w:val="ListBullet"/>
        <w:numPr>
          <w:ilvl w:val="0"/>
          <w:numId w:val="20"/>
        </w:numPr>
        <w:spacing w:after="44"/>
      </w:pPr>
      <w:r>
        <w:t>Unexpectedly high attendance</w:t>
      </w:r>
    </w:p>
    <w:p w14:paraId="2FFFA04E" w14:textId="77777777" w:rsidR="00E10BFE" w:rsidRDefault="00000000" w:rsidP="001177A3">
      <w:pPr>
        <w:pStyle w:val="ListBullet"/>
        <w:numPr>
          <w:ilvl w:val="0"/>
          <w:numId w:val="20"/>
        </w:numPr>
        <w:spacing w:after="44"/>
      </w:pPr>
      <w:r>
        <w:t>Early sellout</w:t>
      </w:r>
    </w:p>
    <w:p w14:paraId="7CB5AAFF" w14:textId="77777777" w:rsidR="00E10BFE" w:rsidRDefault="00000000" w:rsidP="001177A3">
      <w:pPr>
        <w:pStyle w:val="ListBullet"/>
        <w:numPr>
          <w:ilvl w:val="0"/>
          <w:numId w:val="20"/>
        </w:numPr>
        <w:spacing w:after="44"/>
      </w:pPr>
      <w:r>
        <w:t>Weather problems</w:t>
      </w:r>
    </w:p>
    <w:p w14:paraId="606DF098" w14:textId="77777777" w:rsidR="00E10BFE" w:rsidRDefault="00000000" w:rsidP="001177A3">
      <w:pPr>
        <w:pStyle w:val="ListBullet"/>
        <w:numPr>
          <w:ilvl w:val="0"/>
          <w:numId w:val="20"/>
        </w:numPr>
        <w:spacing w:after="44"/>
      </w:pPr>
      <w:r>
        <w:t>Venue access changes</w:t>
      </w:r>
    </w:p>
    <w:p w14:paraId="74B3F013" w14:textId="77777777" w:rsidR="00E10BFE" w:rsidRDefault="00000000" w:rsidP="001177A3">
      <w:pPr>
        <w:pStyle w:val="ListBullet"/>
        <w:numPr>
          <w:ilvl w:val="0"/>
          <w:numId w:val="20"/>
        </w:numPr>
        <w:spacing w:after="44"/>
      </w:pPr>
      <w:r>
        <w:t>Guest allergen or food-safety complaint</w:t>
      </w:r>
    </w:p>
    <w:p w14:paraId="360E0895" w14:textId="77777777" w:rsidR="00E10BFE" w:rsidRDefault="00000000" w:rsidP="001177A3">
      <w:pPr>
        <w:pStyle w:val="ListBullet"/>
        <w:numPr>
          <w:ilvl w:val="0"/>
          <w:numId w:val="20"/>
        </w:numPr>
        <w:spacing w:after="44"/>
      </w:pPr>
      <w:r>
        <w:t xml:space="preserve">Injury, fire, evacuation, or </w:t>
      </w:r>
      <w:proofErr w:type="gramStart"/>
      <w:r>
        <w:t>other</w:t>
      </w:r>
      <w:proofErr w:type="gramEnd"/>
      <w:r>
        <w:t xml:space="preserve"> emergency</w:t>
      </w:r>
    </w:p>
    <w:tbl>
      <w:tblPr>
        <w:tblW w:w="0" w:type="auto"/>
        <w:jc w:val="center"/>
        <w:tblLayout w:type="fixed"/>
        <w:tblLook w:val="04A0" w:firstRow="1" w:lastRow="0" w:firstColumn="1" w:lastColumn="0" w:noHBand="0" w:noVBand="1"/>
      </w:tblPr>
      <w:tblGrid>
        <w:gridCol w:w="9994"/>
      </w:tblGrid>
      <w:tr w:rsidR="00E10BFE" w14:paraId="71CABCD6" w14:textId="77777777">
        <w:trPr>
          <w:jc w:val="center"/>
        </w:trPr>
        <w:tc>
          <w:tcPr>
            <w:tcW w:w="9994" w:type="dxa"/>
            <w:shd w:val="clear" w:color="auto" w:fill="EAF1F8"/>
            <w:tcMar>
              <w:top w:w="110" w:type="dxa"/>
              <w:left w:w="145" w:type="dxa"/>
              <w:bottom w:w="110" w:type="dxa"/>
              <w:right w:w="145" w:type="dxa"/>
            </w:tcMar>
          </w:tcPr>
          <w:p w14:paraId="536C0363" w14:textId="77777777" w:rsidR="00E10BFE" w:rsidRDefault="00000000">
            <w:pPr>
              <w:spacing w:after="0"/>
            </w:pPr>
            <w:r>
              <w:rPr>
                <w:b/>
                <w:color w:val="17365D"/>
                <w:sz w:val="20"/>
              </w:rPr>
              <w:t xml:space="preserve">Set authority in advance: </w:t>
            </w:r>
            <w:r>
              <w:rPr>
                <w:sz w:val="20"/>
              </w:rPr>
              <w:t>Know who can approve an emergency purchase, refund, menu change, vendor substitution, service stop, or other major decision.</w:t>
            </w:r>
          </w:p>
        </w:tc>
      </w:tr>
    </w:tbl>
    <w:p w14:paraId="09BB4FB6" w14:textId="77777777" w:rsidR="00E10BFE" w:rsidRDefault="00E10BFE">
      <w:pPr>
        <w:spacing w:after="0"/>
      </w:pPr>
    </w:p>
    <w:p w14:paraId="71EDB73B" w14:textId="77777777" w:rsidR="00E10BFE" w:rsidRDefault="00000000" w:rsidP="001177A3">
      <w:pPr>
        <w:pStyle w:val="Heading1"/>
      </w:pPr>
      <w:r>
        <w:t>14. Control the Operation on Event Day</w:t>
      </w:r>
    </w:p>
    <w:p w14:paraId="479B4287" w14:textId="77777777" w:rsidR="00E10BFE" w:rsidRDefault="00000000">
      <w:r>
        <w:t>Arrive early enough to solve problems before guests arrive. Verify deliveries, equipment, food temperatures where applicable, sanitation setup, POS operation, signage, lighting, staff assignments, inventory, and emergency information before opening.</w:t>
      </w:r>
    </w:p>
    <w:p w14:paraId="2A5404B2" w14:textId="77777777" w:rsidR="00E10BFE" w:rsidRDefault="00000000">
      <w:pPr>
        <w:pStyle w:val="ListBullet"/>
        <w:spacing w:after="44"/>
      </w:pPr>
      <w:r>
        <w:t>Monitor sales pace and average check.</w:t>
      </w:r>
    </w:p>
    <w:p w14:paraId="7444D75C" w14:textId="77777777" w:rsidR="00E10BFE" w:rsidRDefault="00000000">
      <w:pPr>
        <w:pStyle w:val="ListBullet"/>
        <w:spacing w:after="44"/>
      </w:pPr>
      <w:r>
        <w:t>Track inventory and items approaching sellout.</w:t>
      </w:r>
    </w:p>
    <w:p w14:paraId="1006D531" w14:textId="77777777" w:rsidR="00E10BFE" w:rsidRDefault="00000000">
      <w:pPr>
        <w:pStyle w:val="ListBullet"/>
        <w:spacing w:after="44"/>
      </w:pPr>
      <w:r>
        <w:t>Watch wait times and bottlenecks.</w:t>
      </w:r>
    </w:p>
    <w:p w14:paraId="712D7A83" w14:textId="77777777" w:rsidR="00E10BFE" w:rsidRDefault="00000000">
      <w:pPr>
        <w:pStyle w:val="ListBullet"/>
        <w:spacing w:after="44"/>
      </w:pPr>
      <w:r>
        <w:t>Maintain food-safety and sanitation controls.</w:t>
      </w:r>
    </w:p>
    <w:p w14:paraId="78C1D8E4" w14:textId="77777777" w:rsidR="00E10BFE" w:rsidRDefault="00000000">
      <w:pPr>
        <w:pStyle w:val="ListBullet"/>
        <w:spacing w:after="44"/>
      </w:pPr>
      <w:r>
        <w:t>Keep staff coverage balanced during peak periods.</w:t>
      </w:r>
    </w:p>
    <w:p w14:paraId="3FAA92D9" w14:textId="77777777" w:rsidR="00E10BFE" w:rsidRDefault="00000000">
      <w:pPr>
        <w:pStyle w:val="ListBullet"/>
        <w:spacing w:after="44"/>
      </w:pPr>
      <w:r>
        <w:t>Record recurring guest questions, complaints, or operational problems.</w:t>
      </w:r>
    </w:p>
    <w:p w14:paraId="0DD05797" w14:textId="77777777" w:rsidR="00E10BFE" w:rsidRDefault="00000000">
      <w:pPr>
        <w:pStyle w:val="ListBullet"/>
        <w:spacing w:after="44"/>
      </w:pPr>
      <w:r>
        <w:t>Protect cash, devices, personal information, and payment records.</w:t>
      </w:r>
    </w:p>
    <w:p w14:paraId="0CBCFDA5" w14:textId="77777777" w:rsidR="00E10BFE" w:rsidRDefault="00000000">
      <w:pPr>
        <w:pStyle w:val="ListBullet"/>
        <w:spacing w:after="44"/>
      </w:pPr>
      <w:r>
        <w:t>Leave enough staff and time for shutdown, packing, waste removal, cleaning, rental pickup, and final venue inspection.</w:t>
      </w:r>
    </w:p>
    <w:p w14:paraId="495B68D9" w14:textId="77777777" w:rsidR="00E10BFE" w:rsidRDefault="00000000" w:rsidP="001177A3">
      <w:pPr>
        <w:pStyle w:val="Heading1"/>
      </w:pPr>
      <w:r>
        <w:t>15. Review the Event Using Actual Results</w:t>
      </w:r>
    </w:p>
    <w:p w14:paraId="52D238BA" w14:textId="77777777" w:rsidR="00E10BFE" w:rsidRDefault="00000000">
      <w:r>
        <w:t>After the event, compare the plan with what actually happened. Keep the information that will improve the next event.</w:t>
      </w:r>
    </w:p>
    <w:p w14:paraId="65D726FD" w14:textId="77777777" w:rsidR="00E10BFE" w:rsidRDefault="00000000">
      <w:pPr>
        <w:pStyle w:val="ListBullet"/>
        <w:spacing w:after="44"/>
      </w:pPr>
      <w:r>
        <w:t>Actual attendance and number of transactions</w:t>
      </w:r>
    </w:p>
    <w:p w14:paraId="09FF9593" w14:textId="77777777" w:rsidR="00E10BFE" w:rsidRDefault="00000000">
      <w:pPr>
        <w:pStyle w:val="ListBullet"/>
        <w:spacing w:after="44"/>
      </w:pPr>
      <w:r>
        <w:t>Gross sales and average customer spend</w:t>
      </w:r>
    </w:p>
    <w:p w14:paraId="2D19DDD4" w14:textId="77777777" w:rsidR="00E10BFE" w:rsidRDefault="00000000">
      <w:pPr>
        <w:pStyle w:val="ListBullet"/>
        <w:spacing w:after="44"/>
      </w:pPr>
      <w:r>
        <w:t>Food/product cost and total operating cost</w:t>
      </w:r>
    </w:p>
    <w:p w14:paraId="545FD50C" w14:textId="77777777" w:rsidR="00E10BFE" w:rsidRDefault="00000000">
      <w:pPr>
        <w:pStyle w:val="ListBullet"/>
        <w:spacing w:after="44"/>
      </w:pPr>
      <w:r>
        <w:t>Labor cost</w:t>
      </w:r>
    </w:p>
    <w:p w14:paraId="7B7D0EB0" w14:textId="77777777" w:rsidR="00E10BFE" w:rsidRDefault="00000000">
      <w:pPr>
        <w:pStyle w:val="ListBullet"/>
        <w:spacing w:after="44"/>
      </w:pPr>
      <w:r>
        <w:t>Waste, leftovers, returns, and unsold inventory</w:t>
      </w:r>
    </w:p>
    <w:p w14:paraId="07A97445" w14:textId="77777777" w:rsidR="00E10BFE" w:rsidRDefault="00000000">
      <w:pPr>
        <w:pStyle w:val="ListBullet"/>
        <w:spacing w:after="44"/>
      </w:pPr>
      <w:r>
        <w:t>Best- and worst-selling items</w:t>
      </w:r>
    </w:p>
    <w:p w14:paraId="0ADE3823" w14:textId="77777777" w:rsidR="00E10BFE" w:rsidRDefault="00000000">
      <w:pPr>
        <w:pStyle w:val="ListBullet"/>
        <w:spacing w:after="44"/>
      </w:pPr>
      <w:r>
        <w:t>Peak periods, wait times, and bottlenecks</w:t>
      </w:r>
    </w:p>
    <w:p w14:paraId="0A1C4B9E" w14:textId="77777777" w:rsidR="00E10BFE" w:rsidRDefault="00000000">
      <w:pPr>
        <w:pStyle w:val="ListBullet"/>
        <w:spacing w:after="44"/>
      </w:pPr>
      <w:r>
        <w:t>Marketing channels that produced actual customers</w:t>
      </w:r>
    </w:p>
    <w:p w14:paraId="7A8DA903" w14:textId="77777777" w:rsidR="00E10BFE" w:rsidRDefault="00000000">
      <w:pPr>
        <w:pStyle w:val="ListBullet"/>
        <w:spacing w:after="44"/>
      </w:pPr>
      <w:r>
        <w:t>Venue, equipment, vendor, or staffing problems</w:t>
      </w:r>
    </w:p>
    <w:p w14:paraId="2799D645" w14:textId="5F0CB8DF" w:rsidR="00E10BFE" w:rsidRDefault="00000000">
      <w:pPr>
        <w:pStyle w:val="ListBullet"/>
        <w:spacing w:after="44"/>
      </w:pPr>
      <w:r>
        <w:t xml:space="preserve">Customer feedback and </w:t>
      </w:r>
      <w:r w:rsidR="00685EA8">
        <w:t>repeat interest</w:t>
      </w:r>
    </w:p>
    <w:p w14:paraId="53BDEA69" w14:textId="77777777" w:rsidR="00E10BFE" w:rsidRDefault="00000000">
      <w:pPr>
        <w:pStyle w:val="ListBullet"/>
        <w:spacing w:after="44"/>
      </w:pPr>
      <w:r>
        <w:t>Actual profit or loss</w:t>
      </w:r>
    </w:p>
    <w:p w14:paraId="37D693B7" w14:textId="42B6B23F" w:rsidR="00685EA8" w:rsidRDefault="00000000">
      <w:r>
        <w:t>Keep the final budget, receipts and invoices, sales report, menu or product list, production notes, vendor contacts, layout notes, and a short after-action summary. Those records become useful planning data for the next pop-up.</w:t>
      </w:r>
    </w:p>
    <w:p w14:paraId="75E10043" w14:textId="77777777" w:rsidR="00685EA8" w:rsidRDefault="00685EA8">
      <w:pPr>
        <w:spacing w:after="200" w:line="276" w:lineRule="auto"/>
      </w:pPr>
      <w:r>
        <w:br w:type="page"/>
      </w:r>
    </w:p>
    <w:p w14:paraId="20DC690C" w14:textId="77777777" w:rsidR="00E10BFE" w:rsidRDefault="00E10BFE"/>
    <w:p w14:paraId="3DED9797" w14:textId="77777777" w:rsidR="00E10BFE" w:rsidRDefault="00000000" w:rsidP="001177A3">
      <w:pPr>
        <w:pStyle w:val="Heading1"/>
      </w:pPr>
      <w:r>
        <w:t>Official U.S. Resources</w:t>
      </w:r>
    </w:p>
    <w:p w14:paraId="5EDD59F7" w14:textId="77777777" w:rsidR="00E10BFE" w:rsidRDefault="00000000">
      <w:pPr>
        <w:pStyle w:val="LeadGuide"/>
      </w:pPr>
      <w:r>
        <w:t>Use these national resources as starting points. They do not replace the rules of the state, county, city, health department, fire authority, tax agency, alcohol authority, or venue where the event will occur.</w:t>
      </w:r>
    </w:p>
    <w:p w14:paraId="6CD137F6" w14:textId="77777777" w:rsidR="00E10BFE" w:rsidRDefault="00000000">
      <w:r>
        <w:rPr>
          <w:b/>
          <w:color w:val="17365D"/>
          <w:sz w:val="19"/>
        </w:rPr>
        <w:t>U.S. Small Business Administration - Apply for Licenses and Permits</w:t>
      </w:r>
      <w:r>
        <w:rPr>
          <w:b/>
          <w:color w:val="17365D"/>
          <w:sz w:val="19"/>
        </w:rPr>
        <w:br/>
      </w:r>
      <w:hyperlink r:id="rId8">
        <w:r>
          <w:rPr>
            <w:color w:val="2F5597"/>
            <w:u w:val="single"/>
          </w:rPr>
          <w:t>https://www.sba.gov/business-guide/launch-your-business/apply-licenses-permits</w:t>
        </w:r>
      </w:hyperlink>
    </w:p>
    <w:p w14:paraId="315CD367" w14:textId="77777777" w:rsidR="00E10BFE" w:rsidRDefault="00000000">
      <w:r>
        <w:rPr>
          <w:b/>
          <w:color w:val="17365D"/>
          <w:sz w:val="19"/>
        </w:rPr>
        <w:t>U.S. Food and Drug Administration - FDA Food Code</w:t>
      </w:r>
      <w:r>
        <w:rPr>
          <w:b/>
          <w:color w:val="17365D"/>
          <w:sz w:val="19"/>
        </w:rPr>
        <w:br/>
      </w:r>
      <w:hyperlink r:id="rId9">
        <w:r>
          <w:rPr>
            <w:color w:val="2F5597"/>
            <w:u w:val="single"/>
          </w:rPr>
          <w:t>https://www.fda.gov/food/retail-food-protection/fda-food-code</w:t>
        </w:r>
      </w:hyperlink>
    </w:p>
    <w:p w14:paraId="5126D3C9" w14:textId="77777777" w:rsidR="00E10BFE" w:rsidRDefault="00000000">
      <w:r>
        <w:rPr>
          <w:b/>
          <w:color w:val="17365D"/>
          <w:sz w:val="19"/>
        </w:rPr>
        <w:t>FDA - 2022 Food Code and 2024 Supplement</w:t>
      </w:r>
      <w:r>
        <w:rPr>
          <w:b/>
          <w:color w:val="17365D"/>
          <w:sz w:val="19"/>
        </w:rPr>
        <w:br/>
      </w:r>
      <w:hyperlink r:id="rId10">
        <w:r>
          <w:rPr>
            <w:color w:val="2F5597"/>
            <w:u w:val="single"/>
          </w:rPr>
          <w:t>https://www.fda.gov/food/fda-food-code/food-code-2022</w:t>
        </w:r>
      </w:hyperlink>
    </w:p>
    <w:p w14:paraId="599796CA" w14:textId="77777777" w:rsidR="00E10BFE" w:rsidRDefault="00000000">
      <w:r>
        <w:rPr>
          <w:b/>
          <w:color w:val="17365D"/>
          <w:sz w:val="19"/>
        </w:rPr>
        <w:t>FDA - Food Code Adoption by State and Territorial Agencies</w:t>
      </w:r>
      <w:r>
        <w:rPr>
          <w:b/>
          <w:color w:val="17365D"/>
          <w:sz w:val="19"/>
        </w:rPr>
        <w:br/>
      </w:r>
      <w:hyperlink r:id="rId11">
        <w:r>
          <w:rPr>
            <w:color w:val="2F5597"/>
            <w:u w:val="single"/>
          </w:rPr>
          <w:t>https://www.fda.gov/food/fda-food-code/adoption-fda-food-code-state-and-territorial-agencies-responsible-oversight-restaurants-and-retail</w:t>
        </w:r>
      </w:hyperlink>
    </w:p>
    <w:p w14:paraId="2780BC3E" w14:textId="77777777" w:rsidR="00E10BFE" w:rsidRDefault="00000000">
      <w:r>
        <w:rPr>
          <w:b/>
          <w:color w:val="17365D"/>
          <w:sz w:val="19"/>
        </w:rPr>
        <w:t>U.S. Department of Justice - ADA Requirements for Businesses Open to the Public</w:t>
      </w:r>
      <w:r>
        <w:rPr>
          <w:b/>
          <w:color w:val="17365D"/>
          <w:sz w:val="19"/>
        </w:rPr>
        <w:br/>
      </w:r>
      <w:hyperlink r:id="rId12">
        <w:r>
          <w:rPr>
            <w:color w:val="2F5597"/>
            <w:u w:val="single"/>
          </w:rPr>
          <w:t>https://www.ada.gov/topics/title-iii/</w:t>
        </w:r>
      </w:hyperlink>
    </w:p>
    <w:p w14:paraId="10C26FD7" w14:textId="77777777" w:rsidR="00E10BFE" w:rsidRDefault="00000000">
      <w:r>
        <w:rPr>
          <w:b/>
          <w:color w:val="17365D"/>
          <w:sz w:val="19"/>
        </w:rPr>
        <w:t>Alcohol and Tobacco Tax and Trade Bureau - State Alcohol Beverage Authorities</w:t>
      </w:r>
      <w:r>
        <w:rPr>
          <w:b/>
          <w:color w:val="17365D"/>
          <w:sz w:val="19"/>
        </w:rPr>
        <w:br/>
      </w:r>
      <w:hyperlink r:id="rId13">
        <w:r>
          <w:rPr>
            <w:color w:val="2F5597"/>
            <w:u w:val="single"/>
          </w:rPr>
          <w:t>https://www.ttb.gov/business-central/alcohol-beverage-authorities-in-united-states-canada-and-puerto-rico</w:t>
        </w:r>
      </w:hyperlink>
    </w:p>
    <w:p w14:paraId="0E49525E" w14:textId="77777777" w:rsidR="00E10BFE" w:rsidRDefault="00000000">
      <w:pPr>
        <w:pStyle w:val="SmallGuide"/>
      </w:pPr>
      <w:r>
        <w:t>National reference information checked September 11, 2026. The 2022 FDA Food Code remains the most recent full edition identified by FDA, with the 2024 Supplement. Local adoption and event requirements vary. This document is practical planning guidance and is not legal, tax, insurance, or licensing advice.</w:t>
      </w:r>
    </w:p>
    <w:sectPr w:rsidR="00E10BFE" w:rsidSect="00034616">
      <w:headerReference w:type="default" r:id="rId14"/>
      <w:footerReference w:type="default" r:id="rId15"/>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0504E" w14:textId="77777777" w:rsidR="00C159FE" w:rsidRDefault="00C159FE">
      <w:pPr>
        <w:spacing w:after="0"/>
      </w:pPr>
      <w:r>
        <w:separator/>
      </w:r>
    </w:p>
  </w:endnote>
  <w:endnote w:type="continuationSeparator" w:id="0">
    <w:p w14:paraId="4AF597BF" w14:textId="77777777" w:rsidR="00C159FE" w:rsidRDefault="00C159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7101160"/>
      <w:docPartObj>
        <w:docPartGallery w:val="Page Numbers (Bottom of Page)"/>
        <w:docPartUnique/>
      </w:docPartObj>
    </w:sdtPr>
    <w:sdtEndPr>
      <w:rPr>
        <w:noProof/>
      </w:rPr>
    </w:sdtEndPr>
    <w:sdtContent>
      <w:p w14:paraId="0B71E82A" w14:textId="293BE233" w:rsidR="00685EA8" w:rsidRDefault="00685EA8">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051E6A27" w14:textId="082841D3" w:rsidR="00E10BFE" w:rsidRDefault="00E10BF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7F5DD" w14:textId="77777777" w:rsidR="00C159FE" w:rsidRDefault="00C159FE">
      <w:pPr>
        <w:spacing w:after="0"/>
      </w:pPr>
      <w:r>
        <w:separator/>
      </w:r>
    </w:p>
  </w:footnote>
  <w:footnote w:type="continuationSeparator" w:id="0">
    <w:p w14:paraId="220697FD" w14:textId="77777777" w:rsidR="00C159FE" w:rsidRDefault="00C159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12E92" w14:textId="77777777" w:rsidR="00E10BFE" w:rsidRDefault="00000000">
    <w:pPr>
      <w:pStyle w:val="Header"/>
      <w:jc w:val="right"/>
    </w:pPr>
    <w:r>
      <w:rPr>
        <w:b/>
        <w:color w:val="2F5597"/>
        <w:sz w:val="17"/>
      </w:rPr>
      <w:t>POP-UP EVENT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E0D20"/>
    <w:multiLevelType w:val="hybridMultilevel"/>
    <w:tmpl w:val="50BC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87656"/>
    <w:multiLevelType w:val="hybridMultilevel"/>
    <w:tmpl w:val="344CB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312820"/>
    <w:multiLevelType w:val="hybridMultilevel"/>
    <w:tmpl w:val="351CB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392E11"/>
    <w:multiLevelType w:val="hybridMultilevel"/>
    <w:tmpl w:val="0C10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4278C1"/>
    <w:multiLevelType w:val="hybridMultilevel"/>
    <w:tmpl w:val="97C4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740646"/>
    <w:multiLevelType w:val="hybridMultilevel"/>
    <w:tmpl w:val="D6F04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E73EE4"/>
    <w:multiLevelType w:val="hybridMultilevel"/>
    <w:tmpl w:val="E7C88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FF4939"/>
    <w:multiLevelType w:val="hybridMultilevel"/>
    <w:tmpl w:val="90964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606C2D"/>
    <w:multiLevelType w:val="hybridMultilevel"/>
    <w:tmpl w:val="75D4C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B54AC5"/>
    <w:multiLevelType w:val="hybridMultilevel"/>
    <w:tmpl w:val="4CA8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7C04A9"/>
    <w:multiLevelType w:val="hybridMultilevel"/>
    <w:tmpl w:val="FFA4D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7422657">
    <w:abstractNumId w:val="8"/>
  </w:num>
  <w:num w:numId="2" w16cid:durableId="46993416">
    <w:abstractNumId w:val="6"/>
  </w:num>
  <w:num w:numId="3" w16cid:durableId="634721463">
    <w:abstractNumId w:val="5"/>
  </w:num>
  <w:num w:numId="4" w16cid:durableId="1488744938">
    <w:abstractNumId w:val="4"/>
  </w:num>
  <w:num w:numId="5" w16cid:durableId="279340953">
    <w:abstractNumId w:val="7"/>
  </w:num>
  <w:num w:numId="6" w16cid:durableId="767579479">
    <w:abstractNumId w:val="3"/>
  </w:num>
  <w:num w:numId="7" w16cid:durableId="1580290128">
    <w:abstractNumId w:val="2"/>
  </w:num>
  <w:num w:numId="8" w16cid:durableId="192160092">
    <w:abstractNumId w:val="1"/>
  </w:num>
  <w:num w:numId="9" w16cid:durableId="1437367673">
    <w:abstractNumId w:val="0"/>
  </w:num>
  <w:num w:numId="10" w16cid:durableId="479225111">
    <w:abstractNumId w:val="16"/>
  </w:num>
  <w:num w:numId="11" w16cid:durableId="447359215">
    <w:abstractNumId w:val="10"/>
  </w:num>
  <w:num w:numId="12" w16cid:durableId="1838688802">
    <w:abstractNumId w:val="11"/>
  </w:num>
  <w:num w:numId="13" w16cid:durableId="33896880">
    <w:abstractNumId w:val="17"/>
  </w:num>
  <w:num w:numId="14" w16cid:durableId="1773628470">
    <w:abstractNumId w:val="12"/>
  </w:num>
  <w:num w:numId="15" w16cid:durableId="419371402">
    <w:abstractNumId w:val="9"/>
  </w:num>
  <w:num w:numId="16" w16cid:durableId="685400499">
    <w:abstractNumId w:val="18"/>
  </w:num>
  <w:num w:numId="17" w16cid:durableId="773400213">
    <w:abstractNumId w:val="15"/>
  </w:num>
  <w:num w:numId="18" w16cid:durableId="1422481568">
    <w:abstractNumId w:val="13"/>
  </w:num>
  <w:num w:numId="19" w16cid:durableId="1949969802">
    <w:abstractNumId w:val="14"/>
  </w:num>
  <w:num w:numId="20" w16cid:durableId="17074878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160"/>
    <w:rsid w:val="001177A3"/>
    <w:rsid w:val="0015074B"/>
    <w:rsid w:val="0029639D"/>
    <w:rsid w:val="00326F90"/>
    <w:rsid w:val="00685EA8"/>
    <w:rsid w:val="007C01EA"/>
    <w:rsid w:val="00983DA0"/>
    <w:rsid w:val="00AA1D8D"/>
    <w:rsid w:val="00B47730"/>
    <w:rsid w:val="00C159FE"/>
    <w:rsid w:val="00CB0664"/>
    <w:rsid w:val="00E10B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44801"/>
  <w14:defaultImageDpi w14:val="300"/>
  <w15:docId w15:val="{E0739384-2A46-44A0-A231-A64769A55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EA8"/>
    <w:pPr>
      <w:spacing w:after="120" w:line="240" w:lineRule="auto"/>
    </w:pPr>
    <w:rPr>
      <w:rFonts w:ascii="Aptos" w:hAnsi="Aptos"/>
    </w:rPr>
  </w:style>
  <w:style w:type="paragraph" w:styleId="Heading1">
    <w:name w:val="heading 1"/>
    <w:basedOn w:val="Normal"/>
    <w:next w:val="Normal"/>
    <w:link w:val="Heading1Char"/>
    <w:autoRedefine/>
    <w:uiPriority w:val="9"/>
    <w:qFormat/>
    <w:rsid w:val="001177A3"/>
    <w:pPr>
      <w:keepNext/>
      <w:keepLines/>
      <w:spacing w:before="120"/>
      <w:outlineLvl w:val="0"/>
    </w:pPr>
    <w:rPr>
      <w:rFonts w:asciiTheme="majorHAnsi" w:eastAsiaTheme="majorEastAsia" w:hAnsiTheme="majorHAnsi" w:cstheme="majorBidi"/>
      <w:b/>
      <w:bCs/>
      <w:color w:val="3E762A" w:themeColor="accent1" w:themeShade="BF"/>
      <w:sz w:val="24"/>
      <w:szCs w:val="28"/>
    </w:rPr>
  </w:style>
  <w:style w:type="paragraph" w:styleId="Heading2">
    <w:name w:val="heading 2"/>
    <w:basedOn w:val="Normal"/>
    <w:next w:val="Normal"/>
    <w:link w:val="Heading2Char"/>
    <w:uiPriority w:val="9"/>
    <w:unhideWhenUsed/>
    <w:qFormat/>
    <w:rsid w:val="00983DA0"/>
    <w:pPr>
      <w:keepNext/>
      <w:keepLines/>
      <w:spacing w:before="200" w:after="0"/>
      <w:outlineLvl w:val="1"/>
    </w:pPr>
    <w:rPr>
      <w:rFonts w:asciiTheme="majorHAnsi" w:eastAsiaTheme="majorEastAsia" w:hAnsiTheme="majorHAnsi" w:cstheme="majorBidi"/>
      <w:b/>
      <w:bCs/>
      <w:color w:val="549E39" w:themeColor="accent1"/>
      <w:sz w:val="26"/>
      <w:szCs w:val="26"/>
    </w:rPr>
  </w:style>
  <w:style w:type="paragraph" w:styleId="Heading3">
    <w:name w:val="heading 3"/>
    <w:basedOn w:val="Normal"/>
    <w:next w:val="Normal"/>
    <w:link w:val="Heading3Char"/>
    <w:uiPriority w:val="9"/>
    <w:unhideWhenUsed/>
    <w:qFormat/>
    <w:rsid w:val="00983DA0"/>
    <w:pPr>
      <w:keepNext/>
      <w:keepLines/>
      <w:spacing w:before="200" w:after="0"/>
      <w:outlineLvl w:val="2"/>
    </w:pPr>
    <w:rPr>
      <w:rFonts w:asciiTheme="majorHAnsi" w:eastAsiaTheme="majorEastAsia" w:hAnsiTheme="majorHAnsi" w:cstheme="majorBidi"/>
      <w:b/>
      <w:bCs/>
      <w:color w:val="549E39" w:themeColor="accent1"/>
    </w:rPr>
  </w:style>
  <w:style w:type="paragraph" w:styleId="Heading4">
    <w:name w:val="heading 4"/>
    <w:basedOn w:val="Normal"/>
    <w:next w:val="Normal"/>
    <w:link w:val="Heading4Char"/>
    <w:uiPriority w:val="9"/>
    <w:semiHidden/>
    <w:unhideWhenUsed/>
    <w:qFormat/>
    <w:rsid w:val="00983DA0"/>
    <w:pPr>
      <w:keepNext/>
      <w:keepLines/>
      <w:spacing w:before="200" w:after="0"/>
      <w:outlineLvl w:val="3"/>
    </w:pPr>
    <w:rPr>
      <w:rFonts w:asciiTheme="majorHAnsi" w:eastAsiaTheme="majorEastAsia" w:hAnsiTheme="majorHAnsi" w:cstheme="majorBidi"/>
      <w:b/>
      <w:bCs/>
      <w:i/>
      <w:iCs/>
      <w:color w:val="549E39" w:themeColor="accent1"/>
    </w:rPr>
  </w:style>
  <w:style w:type="paragraph" w:styleId="Heading5">
    <w:name w:val="heading 5"/>
    <w:basedOn w:val="Normal"/>
    <w:next w:val="Normal"/>
    <w:link w:val="Heading5Char"/>
    <w:uiPriority w:val="9"/>
    <w:semiHidden/>
    <w:unhideWhenUsed/>
    <w:qFormat/>
    <w:rsid w:val="00983DA0"/>
    <w:pPr>
      <w:keepNext/>
      <w:keepLines/>
      <w:spacing w:before="200" w:after="0"/>
      <w:outlineLvl w:val="4"/>
    </w:pPr>
    <w:rPr>
      <w:rFonts w:asciiTheme="majorHAnsi" w:eastAsiaTheme="majorEastAsia" w:hAnsiTheme="majorHAnsi" w:cstheme="majorBidi"/>
      <w:color w:val="294E1C" w:themeColor="accent1" w:themeShade="7F"/>
    </w:rPr>
  </w:style>
  <w:style w:type="paragraph" w:styleId="Heading6">
    <w:name w:val="heading 6"/>
    <w:basedOn w:val="Normal"/>
    <w:next w:val="Normal"/>
    <w:link w:val="Heading6Char"/>
    <w:uiPriority w:val="9"/>
    <w:semiHidden/>
    <w:unhideWhenUsed/>
    <w:qFormat/>
    <w:rsid w:val="00983DA0"/>
    <w:pPr>
      <w:keepNext/>
      <w:keepLines/>
      <w:spacing w:before="200" w:after="0"/>
      <w:outlineLvl w:val="5"/>
    </w:pPr>
    <w:rPr>
      <w:rFonts w:asciiTheme="majorHAnsi" w:eastAsiaTheme="majorEastAsia" w:hAnsiTheme="majorHAnsi" w:cstheme="majorBidi"/>
      <w:i/>
      <w:iCs/>
      <w:color w:val="294E1C" w:themeColor="accent1" w:themeShade="7F"/>
    </w:rPr>
  </w:style>
  <w:style w:type="paragraph" w:styleId="Heading7">
    <w:name w:val="heading 7"/>
    <w:basedOn w:val="Normal"/>
    <w:next w:val="Normal"/>
    <w:link w:val="Heading7Char"/>
    <w:uiPriority w:val="9"/>
    <w:semiHidden/>
    <w:unhideWhenUsed/>
    <w:qFormat/>
    <w:rsid w:val="00983D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83DA0"/>
    <w:pPr>
      <w:keepNext/>
      <w:keepLines/>
      <w:spacing w:before="200" w:after="0"/>
      <w:outlineLvl w:val="7"/>
    </w:pPr>
    <w:rPr>
      <w:rFonts w:asciiTheme="majorHAnsi" w:eastAsiaTheme="majorEastAsia" w:hAnsiTheme="majorHAnsi" w:cstheme="majorBidi"/>
      <w:color w:val="549E39" w:themeColor="accent1"/>
      <w:sz w:val="20"/>
      <w:szCs w:val="20"/>
    </w:rPr>
  </w:style>
  <w:style w:type="paragraph" w:styleId="Heading9">
    <w:name w:val="heading 9"/>
    <w:basedOn w:val="Normal"/>
    <w:next w:val="Normal"/>
    <w:link w:val="Heading9Char"/>
    <w:uiPriority w:val="9"/>
    <w:semiHidden/>
    <w:unhideWhenUsed/>
    <w:qFormat/>
    <w:rsid w:val="00983D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983DA0"/>
    <w:pPr>
      <w:spacing w:after="0" w:line="240" w:lineRule="auto"/>
    </w:pPr>
  </w:style>
  <w:style w:type="character" w:customStyle="1" w:styleId="Heading1Char">
    <w:name w:val="Heading 1 Char"/>
    <w:basedOn w:val="DefaultParagraphFont"/>
    <w:link w:val="Heading1"/>
    <w:uiPriority w:val="9"/>
    <w:rsid w:val="001177A3"/>
    <w:rPr>
      <w:rFonts w:asciiTheme="majorHAnsi" w:eastAsiaTheme="majorEastAsia" w:hAnsiTheme="majorHAnsi" w:cstheme="majorBidi"/>
      <w:b/>
      <w:bCs/>
      <w:color w:val="3E762A" w:themeColor="accent1" w:themeShade="BF"/>
      <w:sz w:val="24"/>
      <w:szCs w:val="28"/>
    </w:rPr>
  </w:style>
  <w:style w:type="character" w:customStyle="1" w:styleId="Heading2Char">
    <w:name w:val="Heading 2 Char"/>
    <w:basedOn w:val="DefaultParagraphFont"/>
    <w:link w:val="Heading2"/>
    <w:uiPriority w:val="9"/>
    <w:rsid w:val="00983DA0"/>
    <w:rPr>
      <w:rFonts w:asciiTheme="majorHAnsi" w:eastAsiaTheme="majorEastAsia" w:hAnsiTheme="majorHAnsi" w:cstheme="majorBidi"/>
      <w:b/>
      <w:bCs/>
      <w:color w:val="549E39" w:themeColor="accent1"/>
      <w:sz w:val="26"/>
      <w:szCs w:val="26"/>
    </w:rPr>
  </w:style>
  <w:style w:type="character" w:customStyle="1" w:styleId="Heading3Char">
    <w:name w:val="Heading 3 Char"/>
    <w:basedOn w:val="DefaultParagraphFont"/>
    <w:link w:val="Heading3"/>
    <w:uiPriority w:val="9"/>
    <w:rsid w:val="00983DA0"/>
    <w:rPr>
      <w:rFonts w:asciiTheme="majorHAnsi" w:eastAsiaTheme="majorEastAsia" w:hAnsiTheme="majorHAnsi" w:cstheme="majorBidi"/>
      <w:b/>
      <w:bCs/>
      <w:color w:val="549E39" w:themeColor="accent1"/>
    </w:rPr>
  </w:style>
  <w:style w:type="paragraph" w:styleId="Title">
    <w:name w:val="Title"/>
    <w:basedOn w:val="Normal"/>
    <w:next w:val="Normal"/>
    <w:link w:val="TitleChar"/>
    <w:uiPriority w:val="10"/>
    <w:qFormat/>
    <w:rsid w:val="00983DA0"/>
    <w:pPr>
      <w:pBdr>
        <w:bottom w:val="single" w:sz="8" w:space="4" w:color="549E39" w:themeColor="accent1"/>
      </w:pBdr>
      <w:spacing w:after="300"/>
      <w:contextualSpacing/>
    </w:pPr>
    <w:rPr>
      <w:rFonts w:asciiTheme="majorHAnsi" w:eastAsiaTheme="majorEastAsia" w:hAnsiTheme="majorHAnsi" w:cstheme="majorBidi"/>
      <w:color w:val="33473C" w:themeColor="text2" w:themeShade="BF"/>
      <w:spacing w:val="5"/>
      <w:sz w:val="52"/>
      <w:szCs w:val="52"/>
    </w:rPr>
  </w:style>
  <w:style w:type="character" w:customStyle="1" w:styleId="TitleChar">
    <w:name w:val="Title Char"/>
    <w:basedOn w:val="DefaultParagraphFont"/>
    <w:link w:val="Title"/>
    <w:uiPriority w:val="10"/>
    <w:rsid w:val="00983DA0"/>
    <w:rPr>
      <w:rFonts w:asciiTheme="majorHAnsi" w:eastAsiaTheme="majorEastAsia" w:hAnsiTheme="majorHAnsi" w:cstheme="majorBidi"/>
      <w:color w:val="33473C" w:themeColor="text2" w:themeShade="BF"/>
      <w:spacing w:val="5"/>
      <w:sz w:val="52"/>
      <w:szCs w:val="52"/>
    </w:rPr>
  </w:style>
  <w:style w:type="paragraph" w:styleId="Subtitle">
    <w:name w:val="Subtitle"/>
    <w:basedOn w:val="Normal"/>
    <w:next w:val="Normal"/>
    <w:link w:val="SubtitleChar"/>
    <w:uiPriority w:val="11"/>
    <w:qFormat/>
    <w:rsid w:val="00983DA0"/>
    <w:pPr>
      <w:numPr>
        <w:ilvl w:val="1"/>
      </w:numPr>
    </w:pPr>
    <w:rPr>
      <w:rFonts w:asciiTheme="majorHAnsi" w:eastAsiaTheme="majorEastAsia" w:hAnsiTheme="majorHAnsi" w:cstheme="majorBidi"/>
      <w:i/>
      <w:iCs/>
      <w:color w:val="549E39" w:themeColor="accent1"/>
      <w:spacing w:val="15"/>
      <w:sz w:val="24"/>
      <w:szCs w:val="24"/>
    </w:rPr>
  </w:style>
  <w:style w:type="character" w:customStyle="1" w:styleId="SubtitleChar">
    <w:name w:val="Subtitle Char"/>
    <w:basedOn w:val="DefaultParagraphFont"/>
    <w:link w:val="Subtitle"/>
    <w:uiPriority w:val="11"/>
    <w:rsid w:val="00983DA0"/>
    <w:rPr>
      <w:rFonts w:asciiTheme="majorHAnsi" w:eastAsiaTheme="majorEastAsia" w:hAnsiTheme="majorHAnsi" w:cstheme="majorBidi"/>
      <w:i/>
      <w:iCs/>
      <w:color w:val="549E3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83DA0"/>
    <w:rPr>
      <w:i/>
      <w:iCs/>
      <w:color w:val="000000" w:themeColor="text1"/>
    </w:rPr>
  </w:style>
  <w:style w:type="character" w:customStyle="1" w:styleId="QuoteChar">
    <w:name w:val="Quote Char"/>
    <w:basedOn w:val="DefaultParagraphFont"/>
    <w:link w:val="Quote"/>
    <w:uiPriority w:val="29"/>
    <w:rsid w:val="00983DA0"/>
    <w:rPr>
      <w:i/>
      <w:iCs/>
      <w:color w:val="000000" w:themeColor="text1"/>
    </w:rPr>
  </w:style>
  <w:style w:type="character" w:customStyle="1" w:styleId="Heading4Char">
    <w:name w:val="Heading 4 Char"/>
    <w:basedOn w:val="DefaultParagraphFont"/>
    <w:link w:val="Heading4"/>
    <w:uiPriority w:val="9"/>
    <w:semiHidden/>
    <w:rsid w:val="00983DA0"/>
    <w:rPr>
      <w:rFonts w:asciiTheme="majorHAnsi" w:eastAsiaTheme="majorEastAsia" w:hAnsiTheme="majorHAnsi" w:cstheme="majorBidi"/>
      <w:b/>
      <w:bCs/>
      <w:i/>
      <w:iCs/>
      <w:color w:val="549E39" w:themeColor="accent1"/>
    </w:rPr>
  </w:style>
  <w:style w:type="character" w:customStyle="1" w:styleId="Heading5Char">
    <w:name w:val="Heading 5 Char"/>
    <w:basedOn w:val="DefaultParagraphFont"/>
    <w:link w:val="Heading5"/>
    <w:uiPriority w:val="9"/>
    <w:semiHidden/>
    <w:rsid w:val="00983DA0"/>
    <w:rPr>
      <w:rFonts w:asciiTheme="majorHAnsi" w:eastAsiaTheme="majorEastAsia" w:hAnsiTheme="majorHAnsi" w:cstheme="majorBidi"/>
      <w:color w:val="294E1C" w:themeColor="accent1" w:themeShade="7F"/>
    </w:rPr>
  </w:style>
  <w:style w:type="character" w:customStyle="1" w:styleId="Heading6Char">
    <w:name w:val="Heading 6 Char"/>
    <w:basedOn w:val="DefaultParagraphFont"/>
    <w:link w:val="Heading6"/>
    <w:uiPriority w:val="9"/>
    <w:semiHidden/>
    <w:rsid w:val="00983DA0"/>
    <w:rPr>
      <w:rFonts w:asciiTheme="majorHAnsi" w:eastAsiaTheme="majorEastAsia" w:hAnsiTheme="majorHAnsi" w:cstheme="majorBidi"/>
      <w:i/>
      <w:iCs/>
      <w:color w:val="294E1C" w:themeColor="accent1" w:themeShade="7F"/>
    </w:rPr>
  </w:style>
  <w:style w:type="character" w:customStyle="1" w:styleId="Heading7Char">
    <w:name w:val="Heading 7 Char"/>
    <w:basedOn w:val="DefaultParagraphFont"/>
    <w:link w:val="Heading7"/>
    <w:uiPriority w:val="9"/>
    <w:semiHidden/>
    <w:rsid w:val="00983D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83DA0"/>
    <w:rPr>
      <w:rFonts w:asciiTheme="majorHAnsi" w:eastAsiaTheme="majorEastAsia" w:hAnsiTheme="majorHAnsi" w:cstheme="majorBidi"/>
      <w:color w:val="549E39" w:themeColor="accent1"/>
      <w:sz w:val="20"/>
      <w:szCs w:val="20"/>
    </w:rPr>
  </w:style>
  <w:style w:type="character" w:customStyle="1" w:styleId="Heading9Char">
    <w:name w:val="Heading 9 Char"/>
    <w:basedOn w:val="DefaultParagraphFont"/>
    <w:link w:val="Heading9"/>
    <w:uiPriority w:val="9"/>
    <w:semiHidden/>
    <w:rsid w:val="00983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83DA0"/>
    <w:rPr>
      <w:b/>
      <w:bCs/>
      <w:color w:val="549E39" w:themeColor="accent1"/>
      <w:sz w:val="18"/>
      <w:szCs w:val="18"/>
    </w:rPr>
  </w:style>
  <w:style w:type="character" w:styleId="Strong">
    <w:name w:val="Strong"/>
    <w:basedOn w:val="DefaultParagraphFont"/>
    <w:uiPriority w:val="22"/>
    <w:qFormat/>
    <w:rsid w:val="00983DA0"/>
    <w:rPr>
      <w:b/>
      <w:bCs/>
    </w:rPr>
  </w:style>
  <w:style w:type="character" w:styleId="Emphasis">
    <w:name w:val="Emphasis"/>
    <w:basedOn w:val="DefaultParagraphFont"/>
    <w:uiPriority w:val="20"/>
    <w:qFormat/>
    <w:rsid w:val="00983DA0"/>
    <w:rPr>
      <w:i/>
      <w:iCs/>
    </w:rPr>
  </w:style>
  <w:style w:type="paragraph" w:styleId="IntenseQuote">
    <w:name w:val="Intense Quote"/>
    <w:basedOn w:val="Normal"/>
    <w:next w:val="Normal"/>
    <w:link w:val="IntenseQuoteChar"/>
    <w:uiPriority w:val="30"/>
    <w:qFormat/>
    <w:rsid w:val="00983DA0"/>
    <w:pPr>
      <w:pBdr>
        <w:bottom w:val="single" w:sz="4" w:space="4" w:color="549E39" w:themeColor="accent1"/>
      </w:pBdr>
      <w:spacing w:before="200" w:after="280"/>
      <w:ind w:left="936" w:right="936"/>
    </w:pPr>
    <w:rPr>
      <w:b/>
      <w:bCs/>
      <w:i/>
      <w:iCs/>
      <w:color w:val="549E39" w:themeColor="accent1"/>
    </w:rPr>
  </w:style>
  <w:style w:type="character" w:customStyle="1" w:styleId="IntenseQuoteChar">
    <w:name w:val="Intense Quote Char"/>
    <w:basedOn w:val="DefaultParagraphFont"/>
    <w:link w:val="IntenseQuote"/>
    <w:uiPriority w:val="30"/>
    <w:rsid w:val="00983DA0"/>
    <w:rPr>
      <w:b/>
      <w:bCs/>
      <w:i/>
      <w:iCs/>
      <w:color w:val="549E39" w:themeColor="accent1"/>
    </w:rPr>
  </w:style>
  <w:style w:type="character" w:styleId="SubtleEmphasis">
    <w:name w:val="Subtle Emphasis"/>
    <w:basedOn w:val="DefaultParagraphFont"/>
    <w:uiPriority w:val="19"/>
    <w:qFormat/>
    <w:rsid w:val="00983DA0"/>
    <w:rPr>
      <w:i/>
      <w:iCs/>
      <w:color w:val="808080" w:themeColor="text1" w:themeTint="7F"/>
    </w:rPr>
  </w:style>
  <w:style w:type="character" w:styleId="IntenseEmphasis">
    <w:name w:val="Intense Emphasis"/>
    <w:basedOn w:val="DefaultParagraphFont"/>
    <w:uiPriority w:val="21"/>
    <w:qFormat/>
    <w:rsid w:val="00983DA0"/>
    <w:rPr>
      <w:b/>
      <w:bCs/>
      <w:i/>
      <w:iCs/>
      <w:color w:val="549E39" w:themeColor="accent1"/>
    </w:rPr>
  </w:style>
  <w:style w:type="character" w:styleId="SubtleReference">
    <w:name w:val="Subtle Reference"/>
    <w:basedOn w:val="DefaultParagraphFont"/>
    <w:uiPriority w:val="31"/>
    <w:qFormat/>
    <w:rsid w:val="00983DA0"/>
    <w:rPr>
      <w:smallCaps/>
      <w:color w:val="8AB833" w:themeColor="accent2"/>
      <w:u w:val="single"/>
    </w:rPr>
  </w:style>
  <w:style w:type="character" w:styleId="IntenseReference">
    <w:name w:val="Intense Reference"/>
    <w:basedOn w:val="DefaultParagraphFont"/>
    <w:uiPriority w:val="32"/>
    <w:qFormat/>
    <w:rsid w:val="00983DA0"/>
    <w:rPr>
      <w:b/>
      <w:bCs/>
      <w:smallCaps/>
      <w:color w:val="8AB833" w:themeColor="accent2"/>
      <w:spacing w:val="5"/>
      <w:u w:val="single"/>
    </w:rPr>
  </w:style>
  <w:style w:type="character" w:styleId="BookTitle">
    <w:name w:val="Book Title"/>
    <w:basedOn w:val="DefaultParagraphFont"/>
    <w:uiPriority w:val="33"/>
    <w:qFormat/>
    <w:rsid w:val="00983DA0"/>
    <w:rPr>
      <w:b/>
      <w:bCs/>
      <w:smallCaps/>
      <w:spacing w:val="5"/>
    </w:rPr>
  </w:style>
  <w:style w:type="paragraph" w:styleId="TOCHeading">
    <w:name w:val="TOC Heading"/>
    <w:basedOn w:val="Heading1"/>
    <w:next w:val="Normal"/>
    <w:uiPriority w:val="39"/>
    <w:semiHidden/>
    <w:unhideWhenUsed/>
    <w:qFormat/>
    <w:rsid w:val="00983DA0"/>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E762A" w:themeColor="accent1" w:themeShade="BF"/>
    </w:rPr>
    <w:tblPr>
      <w:tblStyleRowBandSize w:val="1"/>
      <w:tblStyleColBandSize w:val="1"/>
      <w:tblBorders>
        <w:top w:val="single" w:sz="8" w:space="0" w:color="549E39" w:themeColor="accent1"/>
        <w:bottom w:val="single" w:sz="8" w:space="0" w:color="549E39" w:themeColor="accent1"/>
      </w:tblBorders>
    </w:tblPr>
    <w:tblStylePr w:type="fir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la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left w:val="nil"/>
          <w:right w:val="nil"/>
          <w:insideH w:val="nil"/>
          <w:insideV w:val="nil"/>
        </w:tcBorders>
        <w:shd w:val="clear" w:color="auto" w:fill="D2EBC9" w:themeFill="accent1" w:themeFillTint="3F"/>
      </w:tcPr>
    </w:tblStylePr>
  </w:style>
  <w:style w:type="table" w:styleId="LightShading-Accent2">
    <w:name w:val="Light Shading Accent 2"/>
    <w:basedOn w:val="TableNormal"/>
    <w:uiPriority w:val="60"/>
    <w:rsid w:val="00FC693F"/>
    <w:pPr>
      <w:spacing w:after="0" w:line="240" w:lineRule="auto"/>
    </w:pPr>
    <w:rPr>
      <w:color w:val="668926" w:themeColor="accent2" w:themeShade="BF"/>
    </w:rPr>
    <w:tblPr>
      <w:tblStyleRowBandSize w:val="1"/>
      <w:tblStyleColBandSize w:val="1"/>
      <w:tblBorders>
        <w:top w:val="single" w:sz="8" w:space="0" w:color="8AB833" w:themeColor="accent2"/>
        <w:bottom w:val="single" w:sz="8" w:space="0" w:color="8AB833" w:themeColor="accent2"/>
      </w:tblBorders>
    </w:tblPr>
    <w:tblStylePr w:type="fir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la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left w:val="nil"/>
          <w:right w:val="nil"/>
          <w:insideH w:val="nil"/>
          <w:insideV w:val="nil"/>
        </w:tcBorders>
        <w:shd w:val="clear" w:color="auto" w:fill="E2F0C9" w:themeFill="accent2" w:themeFillTint="3F"/>
      </w:tcPr>
    </w:tblStylePr>
  </w:style>
  <w:style w:type="table" w:styleId="LightShading-Accent3">
    <w:name w:val="Light Shading Accent 3"/>
    <w:basedOn w:val="TableNormal"/>
    <w:uiPriority w:val="60"/>
    <w:rsid w:val="00FC693F"/>
    <w:pPr>
      <w:spacing w:after="0" w:line="240" w:lineRule="auto"/>
    </w:pPr>
    <w:rPr>
      <w:color w:val="939F27" w:themeColor="accent3" w:themeShade="BF"/>
    </w:rPr>
    <w:tblPr>
      <w:tblStyleRowBandSize w:val="1"/>
      <w:tblStyleColBandSize w:val="1"/>
      <w:tblBorders>
        <w:top w:val="single" w:sz="8" w:space="0" w:color="C0CF3A" w:themeColor="accent3"/>
        <w:bottom w:val="single" w:sz="8" w:space="0" w:color="C0CF3A" w:themeColor="accent3"/>
      </w:tblBorders>
    </w:tblPr>
    <w:tblStylePr w:type="fir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la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left w:val="nil"/>
          <w:right w:val="nil"/>
          <w:insideH w:val="nil"/>
          <w:insideV w:val="nil"/>
        </w:tcBorders>
        <w:shd w:val="clear" w:color="auto" w:fill="EFF3CE" w:themeFill="accent3" w:themeFillTint="3F"/>
      </w:tcPr>
    </w:tblStylePr>
  </w:style>
  <w:style w:type="table" w:styleId="LightShading-Accent4">
    <w:name w:val="Light Shading Accent 4"/>
    <w:basedOn w:val="TableNormal"/>
    <w:uiPriority w:val="60"/>
    <w:rsid w:val="00FC693F"/>
    <w:pPr>
      <w:spacing w:after="0" w:line="240" w:lineRule="auto"/>
    </w:pPr>
    <w:rPr>
      <w:color w:val="017057" w:themeColor="accent4" w:themeShade="BF"/>
    </w:rPr>
    <w:tblPr>
      <w:tblStyleRowBandSize w:val="1"/>
      <w:tblStyleColBandSize w:val="1"/>
      <w:tblBorders>
        <w:top w:val="single" w:sz="8" w:space="0" w:color="029676" w:themeColor="accent4"/>
        <w:bottom w:val="single" w:sz="8" w:space="0" w:color="029676" w:themeColor="accent4"/>
      </w:tblBorders>
    </w:tblPr>
    <w:tblStylePr w:type="fir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la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left w:val="nil"/>
          <w:right w:val="nil"/>
          <w:insideH w:val="nil"/>
          <w:insideV w:val="nil"/>
        </w:tcBorders>
        <w:shd w:val="clear" w:color="auto" w:fill="A7FDEA" w:themeFill="accent4" w:themeFillTint="3F"/>
      </w:tcPr>
    </w:tblStylePr>
  </w:style>
  <w:style w:type="table" w:styleId="LightShading-Accent5">
    <w:name w:val="Light Shading Accent 5"/>
    <w:basedOn w:val="TableNormal"/>
    <w:uiPriority w:val="60"/>
    <w:rsid w:val="00FC693F"/>
    <w:pPr>
      <w:spacing w:after="0" w:line="240" w:lineRule="auto"/>
    </w:pPr>
    <w:rPr>
      <w:color w:val="318B98" w:themeColor="accent5" w:themeShade="BF"/>
    </w:rPr>
    <w:tblPr>
      <w:tblStyleRowBandSize w:val="1"/>
      <w:tblStyleColBandSize w:val="1"/>
      <w:tblBorders>
        <w:top w:val="single" w:sz="8" w:space="0" w:color="4AB5C4" w:themeColor="accent5"/>
        <w:bottom w:val="single" w:sz="8" w:space="0" w:color="4AB5C4" w:themeColor="accent5"/>
      </w:tblBorders>
    </w:tblPr>
    <w:tblStylePr w:type="fir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la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left w:val="nil"/>
          <w:right w:val="nil"/>
          <w:insideH w:val="nil"/>
          <w:insideV w:val="nil"/>
        </w:tcBorders>
        <w:shd w:val="clear" w:color="auto" w:fill="D2ECF0" w:themeFill="accent5" w:themeFillTint="3F"/>
      </w:tcPr>
    </w:tblStylePr>
  </w:style>
  <w:style w:type="table" w:styleId="LightShading-Accent6">
    <w:name w:val="Light Shading Accent 6"/>
    <w:basedOn w:val="TableNormal"/>
    <w:uiPriority w:val="60"/>
    <w:rsid w:val="00FC693F"/>
    <w:pPr>
      <w:spacing w:after="0" w:line="240" w:lineRule="auto"/>
    </w:pPr>
    <w:rPr>
      <w:color w:val="066684" w:themeColor="accent6" w:themeShade="BF"/>
    </w:rPr>
    <w:tblPr>
      <w:tblStyleRowBandSize w:val="1"/>
      <w:tblStyleColBandSize w:val="1"/>
      <w:tblBorders>
        <w:top w:val="single" w:sz="8" w:space="0" w:color="0989B1" w:themeColor="accent6"/>
        <w:bottom w:val="single" w:sz="8" w:space="0" w:color="0989B1" w:themeColor="accent6"/>
      </w:tblBorders>
    </w:tblPr>
    <w:tblStylePr w:type="fir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la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left w:val="nil"/>
          <w:right w:val="nil"/>
          <w:insideH w:val="nil"/>
          <w:insideV w:val="nil"/>
        </w:tcBorders>
        <w:shd w:val="clear" w:color="auto" w:fill="B2E9F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pPr>
        <w:spacing w:before="0" w:after="0" w:line="240" w:lineRule="auto"/>
      </w:pPr>
      <w:rPr>
        <w:b/>
        <w:bCs/>
        <w:color w:val="FFFFFF" w:themeColor="background1"/>
      </w:rPr>
      <w:tblPr/>
      <w:tcPr>
        <w:shd w:val="clear" w:color="auto" w:fill="549E39" w:themeFill="accent1"/>
      </w:tcPr>
    </w:tblStylePr>
    <w:tblStylePr w:type="lastRow">
      <w:pPr>
        <w:spacing w:before="0" w:after="0" w:line="240" w:lineRule="auto"/>
      </w:pPr>
      <w:rPr>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tcBorders>
      </w:tcPr>
    </w:tblStylePr>
    <w:tblStylePr w:type="firstCol">
      <w:rPr>
        <w:b/>
        <w:bCs/>
      </w:rPr>
    </w:tblStylePr>
    <w:tblStylePr w:type="lastCol">
      <w:rPr>
        <w:b/>
        <w:bCs/>
      </w:r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pPr>
        <w:spacing w:before="0" w:after="0" w:line="240" w:lineRule="auto"/>
      </w:pPr>
      <w:rPr>
        <w:b/>
        <w:bCs/>
        <w:color w:val="FFFFFF" w:themeColor="background1"/>
      </w:rPr>
      <w:tblPr/>
      <w:tcPr>
        <w:shd w:val="clear" w:color="auto" w:fill="8AB833" w:themeFill="accent2"/>
      </w:tcPr>
    </w:tblStylePr>
    <w:tblStylePr w:type="lastRow">
      <w:pPr>
        <w:spacing w:before="0" w:after="0" w:line="240" w:lineRule="auto"/>
      </w:pPr>
      <w:rPr>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tcBorders>
      </w:tcPr>
    </w:tblStylePr>
    <w:tblStylePr w:type="firstCol">
      <w:rPr>
        <w:b/>
        <w:bCs/>
      </w:rPr>
    </w:tblStylePr>
    <w:tblStylePr w:type="lastCol">
      <w:rPr>
        <w:b/>
        <w:bCs/>
      </w:r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pPr>
        <w:spacing w:before="0" w:after="0" w:line="240" w:lineRule="auto"/>
      </w:pPr>
      <w:rPr>
        <w:b/>
        <w:bCs/>
        <w:color w:val="FFFFFF" w:themeColor="background1"/>
      </w:rPr>
      <w:tblPr/>
      <w:tcPr>
        <w:shd w:val="clear" w:color="auto" w:fill="C0CF3A" w:themeFill="accent3"/>
      </w:tcPr>
    </w:tblStylePr>
    <w:tblStylePr w:type="lastRow">
      <w:pPr>
        <w:spacing w:before="0" w:after="0" w:line="240" w:lineRule="auto"/>
      </w:pPr>
      <w:rPr>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tcBorders>
      </w:tcPr>
    </w:tblStylePr>
    <w:tblStylePr w:type="firstCol">
      <w:rPr>
        <w:b/>
        <w:bCs/>
      </w:rPr>
    </w:tblStylePr>
    <w:tblStylePr w:type="lastCol">
      <w:rPr>
        <w:b/>
        <w:bCs/>
      </w:r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pPr>
        <w:spacing w:before="0" w:after="0" w:line="240" w:lineRule="auto"/>
      </w:pPr>
      <w:rPr>
        <w:b/>
        <w:bCs/>
        <w:color w:val="FFFFFF" w:themeColor="background1"/>
      </w:rPr>
      <w:tblPr/>
      <w:tcPr>
        <w:shd w:val="clear" w:color="auto" w:fill="029676" w:themeFill="accent4"/>
      </w:tcPr>
    </w:tblStylePr>
    <w:tblStylePr w:type="lastRow">
      <w:pPr>
        <w:spacing w:before="0" w:after="0" w:line="240" w:lineRule="auto"/>
      </w:pPr>
      <w:rPr>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tcBorders>
      </w:tcPr>
    </w:tblStylePr>
    <w:tblStylePr w:type="firstCol">
      <w:rPr>
        <w:b/>
        <w:bCs/>
      </w:rPr>
    </w:tblStylePr>
    <w:tblStylePr w:type="lastCol">
      <w:rPr>
        <w:b/>
        <w:bCs/>
      </w:r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pPr>
        <w:spacing w:before="0" w:after="0" w:line="240" w:lineRule="auto"/>
      </w:pPr>
      <w:rPr>
        <w:b/>
        <w:bCs/>
        <w:color w:val="FFFFFF" w:themeColor="background1"/>
      </w:rPr>
      <w:tblPr/>
      <w:tcPr>
        <w:shd w:val="clear" w:color="auto" w:fill="4AB5C4" w:themeFill="accent5"/>
      </w:tcPr>
    </w:tblStylePr>
    <w:tblStylePr w:type="lastRow">
      <w:pPr>
        <w:spacing w:before="0" w:after="0" w:line="240" w:lineRule="auto"/>
      </w:pPr>
      <w:rPr>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tcBorders>
      </w:tcPr>
    </w:tblStylePr>
    <w:tblStylePr w:type="firstCol">
      <w:rPr>
        <w:b/>
        <w:bCs/>
      </w:rPr>
    </w:tblStylePr>
    <w:tblStylePr w:type="lastCol">
      <w:rPr>
        <w:b/>
        <w:bCs/>
      </w:r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pPr>
        <w:spacing w:before="0" w:after="0" w:line="240" w:lineRule="auto"/>
      </w:pPr>
      <w:rPr>
        <w:b/>
        <w:bCs/>
        <w:color w:val="FFFFFF" w:themeColor="background1"/>
      </w:rPr>
      <w:tblPr/>
      <w:tcPr>
        <w:shd w:val="clear" w:color="auto" w:fill="0989B1" w:themeFill="accent6"/>
      </w:tcPr>
    </w:tblStylePr>
    <w:tblStylePr w:type="lastRow">
      <w:pPr>
        <w:spacing w:before="0" w:after="0" w:line="240" w:lineRule="auto"/>
      </w:pPr>
      <w:rPr>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tcBorders>
      </w:tcPr>
    </w:tblStylePr>
    <w:tblStylePr w:type="firstCol">
      <w:rPr>
        <w:b/>
        <w:bCs/>
      </w:rPr>
    </w:tblStylePr>
    <w:tblStylePr w:type="lastCol">
      <w:rPr>
        <w:b/>
        <w:bCs/>
      </w:r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18" w:space="0" w:color="549E39" w:themeColor="accent1"/>
          <w:right w:val="single" w:sz="8" w:space="0" w:color="549E39" w:themeColor="accent1"/>
          <w:insideH w:val="nil"/>
          <w:insideV w:val="single" w:sz="8" w:space="0" w:color="549E3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insideH w:val="nil"/>
          <w:insideV w:val="single" w:sz="8" w:space="0" w:color="549E3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shd w:val="clear" w:color="auto" w:fill="D2EBC9" w:themeFill="accent1" w:themeFillTint="3F"/>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shd w:val="clear" w:color="auto" w:fill="D2EBC9" w:themeFill="accent1" w:themeFillTint="3F"/>
      </w:tcPr>
    </w:tblStylePr>
    <w:tblStylePr w:type="band2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18" w:space="0" w:color="8AB833" w:themeColor="accent2"/>
          <w:right w:val="single" w:sz="8" w:space="0" w:color="8AB833" w:themeColor="accent2"/>
          <w:insideH w:val="nil"/>
          <w:insideV w:val="single" w:sz="8" w:space="0" w:color="8AB83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insideH w:val="nil"/>
          <w:insideV w:val="single" w:sz="8" w:space="0" w:color="8AB83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shd w:val="clear" w:color="auto" w:fill="E2F0C9" w:themeFill="accent2" w:themeFillTint="3F"/>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shd w:val="clear" w:color="auto" w:fill="E2F0C9" w:themeFill="accent2" w:themeFillTint="3F"/>
      </w:tcPr>
    </w:tblStylePr>
    <w:tblStylePr w:type="band2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18" w:space="0" w:color="C0CF3A" w:themeColor="accent3"/>
          <w:right w:val="single" w:sz="8" w:space="0" w:color="C0CF3A" w:themeColor="accent3"/>
          <w:insideH w:val="nil"/>
          <w:insideV w:val="single" w:sz="8" w:space="0" w:color="C0CF3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insideH w:val="nil"/>
          <w:insideV w:val="single" w:sz="8" w:space="0" w:color="C0CF3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shd w:val="clear" w:color="auto" w:fill="EFF3CE" w:themeFill="accent3" w:themeFillTint="3F"/>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shd w:val="clear" w:color="auto" w:fill="EFF3CE" w:themeFill="accent3" w:themeFillTint="3F"/>
      </w:tcPr>
    </w:tblStylePr>
    <w:tblStylePr w:type="band2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18" w:space="0" w:color="029676" w:themeColor="accent4"/>
          <w:right w:val="single" w:sz="8" w:space="0" w:color="029676" w:themeColor="accent4"/>
          <w:insideH w:val="nil"/>
          <w:insideV w:val="single" w:sz="8" w:space="0" w:color="02967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insideH w:val="nil"/>
          <w:insideV w:val="single" w:sz="8" w:space="0" w:color="02967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shd w:val="clear" w:color="auto" w:fill="A7FDEA" w:themeFill="accent4" w:themeFillTint="3F"/>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shd w:val="clear" w:color="auto" w:fill="A7FDEA" w:themeFill="accent4" w:themeFillTint="3F"/>
      </w:tcPr>
    </w:tblStylePr>
    <w:tblStylePr w:type="band2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18" w:space="0" w:color="4AB5C4" w:themeColor="accent5"/>
          <w:right w:val="single" w:sz="8" w:space="0" w:color="4AB5C4" w:themeColor="accent5"/>
          <w:insideH w:val="nil"/>
          <w:insideV w:val="single" w:sz="8" w:space="0" w:color="4AB5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insideH w:val="nil"/>
          <w:insideV w:val="single" w:sz="8" w:space="0" w:color="4AB5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shd w:val="clear" w:color="auto" w:fill="D2ECF0" w:themeFill="accent5" w:themeFillTint="3F"/>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shd w:val="clear" w:color="auto" w:fill="D2ECF0" w:themeFill="accent5" w:themeFillTint="3F"/>
      </w:tcPr>
    </w:tblStylePr>
    <w:tblStylePr w:type="band2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18" w:space="0" w:color="0989B1" w:themeColor="accent6"/>
          <w:right w:val="single" w:sz="8" w:space="0" w:color="0989B1" w:themeColor="accent6"/>
          <w:insideH w:val="nil"/>
          <w:insideV w:val="single" w:sz="8" w:space="0" w:color="0989B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insideH w:val="nil"/>
          <w:insideV w:val="single" w:sz="8" w:space="0" w:color="0989B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shd w:val="clear" w:color="auto" w:fill="B2E9FB" w:themeFill="accent6" w:themeFillTint="3F"/>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shd w:val="clear" w:color="auto" w:fill="B2E9FB" w:themeFill="accent6" w:themeFillTint="3F"/>
      </w:tcPr>
    </w:tblStylePr>
    <w:tblStylePr w:type="band2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tblBorders>
    </w:tblPr>
    <w:tblStylePr w:type="firstRow">
      <w:pPr>
        <w:spacing w:before="0" w:after="0" w:line="240" w:lineRule="auto"/>
      </w:pPr>
      <w:rPr>
        <w:b/>
        <w:bCs/>
        <w:color w:val="FFFFFF" w:themeColor="background1"/>
      </w:rPr>
      <w:tblPr/>
      <w:tcPr>
        <w:tc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shd w:val="clear" w:color="auto" w:fill="549E39" w:themeFill="accent1"/>
      </w:tcPr>
    </w:tblStylePr>
    <w:tblStylePr w:type="lastRow">
      <w:pPr>
        <w:spacing w:before="0" w:after="0" w:line="240" w:lineRule="auto"/>
      </w:pPr>
      <w:rPr>
        <w:b/>
        <w:bCs/>
      </w:rPr>
      <w:tblPr/>
      <w:tcPr>
        <w:tcBorders>
          <w:top w:val="double" w:sz="6"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2EBC9" w:themeFill="accent1" w:themeFillTint="3F"/>
      </w:tcPr>
    </w:tblStylePr>
    <w:tblStylePr w:type="band1Horz">
      <w:tblPr/>
      <w:tcPr>
        <w:tcBorders>
          <w:insideH w:val="nil"/>
          <w:insideV w:val="nil"/>
        </w:tcBorders>
        <w:shd w:val="clear" w:color="auto" w:fill="D2EBC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tblBorders>
    </w:tblPr>
    <w:tblStylePr w:type="firstRow">
      <w:pPr>
        <w:spacing w:before="0" w:after="0" w:line="240" w:lineRule="auto"/>
      </w:pPr>
      <w:rPr>
        <w:b/>
        <w:bCs/>
        <w:color w:val="FFFFFF" w:themeColor="background1"/>
      </w:rPr>
      <w:tblPr/>
      <w:tcPr>
        <w:tc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shd w:val="clear" w:color="auto" w:fill="8AB833" w:themeFill="accent2"/>
      </w:tcPr>
    </w:tblStylePr>
    <w:tblStylePr w:type="lastRow">
      <w:pPr>
        <w:spacing w:before="0" w:after="0" w:line="240" w:lineRule="auto"/>
      </w:pPr>
      <w:rPr>
        <w:b/>
        <w:bCs/>
      </w:rPr>
      <w:tblPr/>
      <w:tcPr>
        <w:tcBorders>
          <w:top w:val="double" w:sz="6"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2F0C9" w:themeFill="accent2" w:themeFillTint="3F"/>
      </w:tcPr>
    </w:tblStylePr>
    <w:tblStylePr w:type="band1Horz">
      <w:tblPr/>
      <w:tcPr>
        <w:tcBorders>
          <w:insideH w:val="nil"/>
          <w:insideV w:val="nil"/>
        </w:tcBorders>
        <w:shd w:val="clear" w:color="auto" w:fill="E2F0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tblBorders>
    </w:tblPr>
    <w:tblStylePr w:type="firstRow">
      <w:pPr>
        <w:spacing w:before="0" w:after="0" w:line="240" w:lineRule="auto"/>
      </w:pPr>
      <w:rPr>
        <w:b/>
        <w:bCs/>
        <w:color w:val="FFFFFF" w:themeColor="background1"/>
      </w:rPr>
      <w:tblPr/>
      <w:tcPr>
        <w:tc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shd w:val="clear" w:color="auto" w:fill="C0CF3A" w:themeFill="accent3"/>
      </w:tcPr>
    </w:tblStylePr>
    <w:tblStylePr w:type="lastRow">
      <w:pPr>
        <w:spacing w:before="0" w:after="0" w:line="240" w:lineRule="auto"/>
      </w:pPr>
      <w:rPr>
        <w:b/>
        <w:bCs/>
      </w:rPr>
      <w:tblPr/>
      <w:tcPr>
        <w:tcBorders>
          <w:top w:val="double" w:sz="6"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F3CE" w:themeFill="accent3" w:themeFillTint="3F"/>
      </w:tcPr>
    </w:tblStylePr>
    <w:tblStylePr w:type="band1Horz">
      <w:tblPr/>
      <w:tcPr>
        <w:tcBorders>
          <w:insideH w:val="nil"/>
          <w:insideV w:val="nil"/>
        </w:tcBorders>
        <w:shd w:val="clear" w:color="auto" w:fill="EFF3C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tblBorders>
    </w:tblPr>
    <w:tblStylePr w:type="firstRow">
      <w:pPr>
        <w:spacing w:before="0" w:after="0" w:line="240" w:lineRule="auto"/>
      </w:pPr>
      <w:rPr>
        <w:b/>
        <w:bCs/>
        <w:color w:val="FFFFFF" w:themeColor="background1"/>
      </w:rPr>
      <w:tblPr/>
      <w:tcPr>
        <w:tc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shd w:val="clear" w:color="auto" w:fill="029676" w:themeFill="accent4"/>
      </w:tcPr>
    </w:tblStylePr>
    <w:tblStylePr w:type="lastRow">
      <w:pPr>
        <w:spacing w:before="0" w:after="0" w:line="240" w:lineRule="auto"/>
      </w:pPr>
      <w:rPr>
        <w:b/>
        <w:bCs/>
      </w:rPr>
      <w:tblPr/>
      <w:tcPr>
        <w:tcBorders>
          <w:top w:val="double" w:sz="6"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tcPr>
    </w:tblStylePr>
    <w:tblStylePr w:type="firstCol">
      <w:rPr>
        <w:b/>
        <w:bCs/>
      </w:rPr>
    </w:tblStylePr>
    <w:tblStylePr w:type="lastCol">
      <w:rPr>
        <w:b/>
        <w:bCs/>
      </w:rPr>
    </w:tblStylePr>
    <w:tblStylePr w:type="band1Vert">
      <w:tblPr/>
      <w:tcPr>
        <w:shd w:val="clear" w:color="auto" w:fill="A7FDEA" w:themeFill="accent4" w:themeFillTint="3F"/>
      </w:tcPr>
    </w:tblStylePr>
    <w:tblStylePr w:type="band1Horz">
      <w:tblPr/>
      <w:tcPr>
        <w:tcBorders>
          <w:insideH w:val="nil"/>
          <w:insideV w:val="nil"/>
        </w:tcBorders>
        <w:shd w:val="clear" w:color="auto" w:fill="A7FDE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tblBorders>
    </w:tblPr>
    <w:tblStylePr w:type="firstRow">
      <w:pPr>
        <w:spacing w:before="0" w:after="0" w:line="240" w:lineRule="auto"/>
      </w:pPr>
      <w:rPr>
        <w:b/>
        <w:bCs/>
        <w:color w:val="FFFFFF" w:themeColor="background1"/>
      </w:rPr>
      <w:tblPr/>
      <w:tcPr>
        <w:tc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shd w:val="clear" w:color="auto" w:fill="4AB5C4" w:themeFill="accent5"/>
      </w:tcPr>
    </w:tblStylePr>
    <w:tblStylePr w:type="lastRow">
      <w:pPr>
        <w:spacing w:before="0" w:after="0" w:line="240" w:lineRule="auto"/>
      </w:pPr>
      <w:rPr>
        <w:b/>
        <w:bCs/>
      </w:rPr>
      <w:tblPr/>
      <w:tcPr>
        <w:tcBorders>
          <w:top w:val="double" w:sz="6"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CF0" w:themeFill="accent5" w:themeFillTint="3F"/>
      </w:tcPr>
    </w:tblStylePr>
    <w:tblStylePr w:type="band1Horz">
      <w:tblPr/>
      <w:tcPr>
        <w:tcBorders>
          <w:insideH w:val="nil"/>
          <w:insideV w:val="nil"/>
        </w:tcBorders>
        <w:shd w:val="clear" w:color="auto" w:fill="D2EC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tblBorders>
    </w:tblPr>
    <w:tblStylePr w:type="firstRow">
      <w:pPr>
        <w:spacing w:before="0" w:after="0" w:line="240" w:lineRule="auto"/>
      </w:pPr>
      <w:rPr>
        <w:b/>
        <w:bCs/>
        <w:color w:val="FFFFFF" w:themeColor="background1"/>
      </w:rPr>
      <w:tblPr/>
      <w:tcPr>
        <w:tc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shd w:val="clear" w:color="auto" w:fill="0989B1" w:themeFill="accent6"/>
      </w:tcPr>
    </w:tblStylePr>
    <w:tblStylePr w:type="lastRow">
      <w:pPr>
        <w:spacing w:before="0" w:after="0" w:line="240" w:lineRule="auto"/>
      </w:pPr>
      <w:rPr>
        <w:b/>
        <w:bCs/>
      </w:rPr>
      <w:tblPr/>
      <w:tcPr>
        <w:tcBorders>
          <w:top w:val="double" w:sz="6"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tcPr>
    </w:tblStylePr>
    <w:tblStylePr w:type="firstCol">
      <w:rPr>
        <w:b/>
        <w:bCs/>
      </w:rPr>
    </w:tblStylePr>
    <w:tblStylePr w:type="lastCol">
      <w:rPr>
        <w:b/>
        <w:bCs/>
      </w:rPr>
    </w:tblStylePr>
    <w:tblStylePr w:type="band1Vert">
      <w:tblPr/>
      <w:tcPr>
        <w:shd w:val="clear" w:color="auto" w:fill="B2E9FB" w:themeFill="accent6" w:themeFillTint="3F"/>
      </w:tcPr>
    </w:tblStylePr>
    <w:tblStylePr w:type="band1Horz">
      <w:tblPr/>
      <w:tcPr>
        <w:tcBorders>
          <w:insideH w:val="nil"/>
          <w:insideV w:val="nil"/>
        </w:tcBorders>
        <w:shd w:val="clear" w:color="auto" w:fill="B2E9F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E3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9E39" w:themeFill="accent1"/>
      </w:tcPr>
    </w:tblStylePr>
    <w:tblStylePr w:type="lastCol">
      <w:rPr>
        <w:b/>
        <w:bCs/>
        <w:color w:val="FFFFFF" w:themeColor="background1"/>
      </w:rPr>
      <w:tblPr/>
      <w:tcPr>
        <w:tcBorders>
          <w:left w:val="nil"/>
          <w:right w:val="nil"/>
          <w:insideH w:val="nil"/>
          <w:insideV w:val="nil"/>
        </w:tcBorders>
        <w:shd w:val="clear" w:color="auto" w:fill="549E3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B8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AB833" w:themeFill="accent2"/>
      </w:tcPr>
    </w:tblStylePr>
    <w:tblStylePr w:type="lastCol">
      <w:rPr>
        <w:b/>
        <w:bCs/>
        <w:color w:val="FFFFFF" w:themeColor="background1"/>
      </w:rPr>
      <w:tblPr/>
      <w:tcPr>
        <w:tcBorders>
          <w:left w:val="nil"/>
          <w:right w:val="nil"/>
          <w:insideH w:val="nil"/>
          <w:insideV w:val="nil"/>
        </w:tcBorders>
        <w:shd w:val="clear" w:color="auto" w:fill="8AB8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CF3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CF3A" w:themeFill="accent3"/>
      </w:tcPr>
    </w:tblStylePr>
    <w:tblStylePr w:type="lastCol">
      <w:rPr>
        <w:b/>
        <w:bCs/>
        <w:color w:val="FFFFFF" w:themeColor="background1"/>
      </w:rPr>
      <w:tblPr/>
      <w:tcPr>
        <w:tcBorders>
          <w:left w:val="nil"/>
          <w:right w:val="nil"/>
          <w:insideH w:val="nil"/>
          <w:insideV w:val="nil"/>
        </w:tcBorders>
        <w:shd w:val="clear" w:color="auto" w:fill="C0CF3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967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29676" w:themeFill="accent4"/>
      </w:tcPr>
    </w:tblStylePr>
    <w:tblStylePr w:type="lastCol">
      <w:rPr>
        <w:b/>
        <w:bCs/>
        <w:color w:val="FFFFFF" w:themeColor="background1"/>
      </w:rPr>
      <w:tblPr/>
      <w:tcPr>
        <w:tcBorders>
          <w:left w:val="nil"/>
          <w:right w:val="nil"/>
          <w:insideH w:val="nil"/>
          <w:insideV w:val="nil"/>
        </w:tcBorders>
        <w:shd w:val="clear" w:color="auto" w:fill="02967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B5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B5C4" w:themeFill="accent5"/>
      </w:tcPr>
    </w:tblStylePr>
    <w:tblStylePr w:type="lastCol">
      <w:rPr>
        <w:b/>
        <w:bCs/>
        <w:color w:val="FFFFFF" w:themeColor="background1"/>
      </w:rPr>
      <w:tblPr/>
      <w:tcPr>
        <w:tcBorders>
          <w:left w:val="nil"/>
          <w:right w:val="nil"/>
          <w:insideH w:val="nil"/>
          <w:insideV w:val="nil"/>
        </w:tcBorders>
        <w:shd w:val="clear" w:color="auto" w:fill="4AB5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989B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989B1" w:themeFill="accent6"/>
      </w:tcPr>
    </w:tblStylePr>
    <w:tblStylePr w:type="lastCol">
      <w:rPr>
        <w:b/>
        <w:bCs/>
        <w:color w:val="FFFFFF" w:themeColor="background1"/>
      </w:rPr>
      <w:tblPr/>
      <w:tcPr>
        <w:tcBorders>
          <w:left w:val="nil"/>
          <w:right w:val="nil"/>
          <w:insideH w:val="nil"/>
          <w:insideV w:val="nil"/>
        </w:tcBorders>
        <w:shd w:val="clear" w:color="auto" w:fill="0989B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5F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549E39" w:themeColor="accent1"/>
        <w:bottom w:val="single" w:sz="8" w:space="0" w:color="549E39" w:themeColor="accent1"/>
      </w:tblBorders>
    </w:tblPr>
    <w:tblStylePr w:type="firstRow">
      <w:rPr>
        <w:rFonts w:asciiTheme="majorHAnsi" w:eastAsiaTheme="majorEastAsia" w:hAnsiTheme="majorHAnsi" w:cstheme="majorBidi"/>
      </w:rPr>
      <w:tblPr/>
      <w:tcPr>
        <w:tcBorders>
          <w:top w:val="nil"/>
          <w:bottom w:val="single" w:sz="8" w:space="0" w:color="549E39" w:themeColor="accent1"/>
        </w:tcBorders>
      </w:tcPr>
    </w:tblStylePr>
    <w:tblStylePr w:type="lastRow">
      <w:rPr>
        <w:b/>
        <w:bCs/>
        <w:color w:val="455F51" w:themeColor="text2"/>
      </w:rPr>
      <w:tblPr/>
      <w:tcPr>
        <w:tcBorders>
          <w:top w:val="single" w:sz="8" w:space="0" w:color="549E39" w:themeColor="accent1"/>
          <w:bottom w:val="single" w:sz="8" w:space="0" w:color="549E39" w:themeColor="accent1"/>
        </w:tcBorders>
      </w:tcPr>
    </w:tblStylePr>
    <w:tblStylePr w:type="firstCol">
      <w:rPr>
        <w:b/>
        <w:bCs/>
      </w:rPr>
    </w:tblStylePr>
    <w:tblStylePr w:type="lastCol">
      <w:rPr>
        <w:b/>
        <w:bCs/>
      </w:rPr>
      <w:tblPr/>
      <w:tcPr>
        <w:tcBorders>
          <w:top w:val="single" w:sz="8" w:space="0" w:color="549E39" w:themeColor="accent1"/>
          <w:bottom w:val="single" w:sz="8" w:space="0" w:color="549E39" w:themeColor="accent1"/>
        </w:tcBorders>
      </w:tcPr>
    </w:tblStylePr>
    <w:tblStylePr w:type="band1Vert">
      <w:tblPr/>
      <w:tcPr>
        <w:shd w:val="clear" w:color="auto" w:fill="D2EBC9" w:themeFill="accent1" w:themeFillTint="3F"/>
      </w:tcPr>
    </w:tblStylePr>
    <w:tblStylePr w:type="band1Horz">
      <w:tblPr/>
      <w:tcPr>
        <w:shd w:val="clear" w:color="auto" w:fill="D2EBC9"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8AB833" w:themeColor="accent2"/>
        <w:bottom w:val="single" w:sz="8" w:space="0" w:color="8AB833" w:themeColor="accent2"/>
      </w:tblBorders>
    </w:tblPr>
    <w:tblStylePr w:type="firstRow">
      <w:rPr>
        <w:rFonts w:asciiTheme="majorHAnsi" w:eastAsiaTheme="majorEastAsia" w:hAnsiTheme="majorHAnsi" w:cstheme="majorBidi"/>
      </w:rPr>
      <w:tblPr/>
      <w:tcPr>
        <w:tcBorders>
          <w:top w:val="nil"/>
          <w:bottom w:val="single" w:sz="8" w:space="0" w:color="8AB833" w:themeColor="accent2"/>
        </w:tcBorders>
      </w:tcPr>
    </w:tblStylePr>
    <w:tblStylePr w:type="lastRow">
      <w:rPr>
        <w:b/>
        <w:bCs/>
        <w:color w:val="455F51" w:themeColor="text2"/>
      </w:rPr>
      <w:tblPr/>
      <w:tcPr>
        <w:tcBorders>
          <w:top w:val="single" w:sz="8" w:space="0" w:color="8AB833" w:themeColor="accent2"/>
          <w:bottom w:val="single" w:sz="8" w:space="0" w:color="8AB833" w:themeColor="accent2"/>
        </w:tcBorders>
      </w:tcPr>
    </w:tblStylePr>
    <w:tblStylePr w:type="firstCol">
      <w:rPr>
        <w:b/>
        <w:bCs/>
      </w:rPr>
    </w:tblStylePr>
    <w:tblStylePr w:type="lastCol">
      <w:rPr>
        <w:b/>
        <w:bCs/>
      </w:rPr>
      <w:tblPr/>
      <w:tcPr>
        <w:tcBorders>
          <w:top w:val="single" w:sz="8" w:space="0" w:color="8AB833" w:themeColor="accent2"/>
          <w:bottom w:val="single" w:sz="8" w:space="0" w:color="8AB833" w:themeColor="accent2"/>
        </w:tcBorders>
      </w:tcPr>
    </w:tblStylePr>
    <w:tblStylePr w:type="band1Vert">
      <w:tblPr/>
      <w:tcPr>
        <w:shd w:val="clear" w:color="auto" w:fill="E2F0C9" w:themeFill="accent2" w:themeFillTint="3F"/>
      </w:tcPr>
    </w:tblStylePr>
    <w:tblStylePr w:type="band1Horz">
      <w:tblPr/>
      <w:tcPr>
        <w:shd w:val="clear" w:color="auto" w:fill="E2F0C9"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C0CF3A" w:themeColor="accent3"/>
        <w:bottom w:val="single" w:sz="8" w:space="0" w:color="C0CF3A" w:themeColor="accent3"/>
      </w:tblBorders>
    </w:tblPr>
    <w:tblStylePr w:type="firstRow">
      <w:rPr>
        <w:rFonts w:asciiTheme="majorHAnsi" w:eastAsiaTheme="majorEastAsia" w:hAnsiTheme="majorHAnsi" w:cstheme="majorBidi"/>
      </w:rPr>
      <w:tblPr/>
      <w:tcPr>
        <w:tcBorders>
          <w:top w:val="nil"/>
          <w:bottom w:val="single" w:sz="8" w:space="0" w:color="C0CF3A" w:themeColor="accent3"/>
        </w:tcBorders>
      </w:tcPr>
    </w:tblStylePr>
    <w:tblStylePr w:type="lastRow">
      <w:rPr>
        <w:b/>
        <w:bCs/>
        <w:color w:val="455F51" w:themeColor="text2"/>
      </w:rPr>
      <w:tblPr/>
      <w:tcPr>
        <w:tcBorders>
          <w:top w:val="single" w:sz="8" w:space="0" w:color="C0CF3A" w:themeColor="accent3"/>
          <w:bottom w:val="single" w:sz="8" w:space="0" w:color="C0CF3A" w:themeColor="accent3"/>
        </w:tcBorders>
      </w:tcPr>
    </w:tblStylePr>
    <w:tblStylePr w:type="firstCol">
      <w:rPr>
        <w:b/>
        <w:bCs/>
      </w:rPr>
    </w:tblStylePr>
    <w:tblStylePr w:type="lastCol">
      <w:rPr>
        <w:b/>
        <w:bCs/>
      </w:rPr>
      <w:tblPr/>
      <w:tcPr>
        <w:tcBorders>
          <w:top w:val="single" w:sz="8" w:space="0" w:color="C0CF3A" w:themeColor="accent3"/>
          <w:bottom w:val="single" w:sz="8" w:space="0" w:color="C0CF3A" w:themeColor="accent3"/>
        </w:tcBorders>
      </w:tcPr>
    </w:tblStylePr>
    <w:tblStylePr w:type="band1Vert">
      <w:tblPr/>
      <w:tcPr>
        <w:shd w:val="clear" w:color="auto" w:fill="EFF3CE" w:themeFill="accent3" w:themeFillTint="3F"/>
      </w:tcPr>
    </w:tblStylePr>
    <w:tblStylePr w:type="band1Horz">
      <w:tblPr/>
      <w:tcPr>
        <w:shd w:val="clear" w:color="auto" w:fill="EFF3CE"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29676" w:themeColor="accent4"/>
        <w:bottom w:val="single" w:sz="8" w:space="0" w:color="029676" w:themeColor="accent4"/>
      </w:tblBorders>
    </w:tblPr>
    <w:tblStylePr w:type="firstRow">
      <w:rPr>
        <w:rFonts w:asciiTheme="majorHAnsi" w:eastAsiaTheme="majorEastAsia" w:hAnsiTheme="majorHAnsi" w:cstheme="majorBidi"/>
      </w:rPr>
      <w:tblPr/>
      <w:tcPr>
        <w:tcBorders>
          <w:top w:val="nil"/>
          <w:bottom w:val="single" w:sz="8" w:space="0" w:color="029676" w:themeColor="accent4"/>
        </w:tcBorders>
      </w:tcPr>
    </w:tblStylePr>
    <w:tblStylePr w:type="lastRow">
      <w:rPr>
        <w:b/>
        <w:bCs/>
        <w:color w:val="455F51" w:themeColor="text2"/>
      </w:rPr>
      <w:tblPr/>
      <w:tcPr>
        <w:tcBorders>
          <w:top w:val="single" w:sz="8" w:space="0" w:color="029676" w:themeColor="accent4"/>
          <w:bottom w:val="single" w:sz="8" w:space="0" w:color="029676" w:themeColor="accent4"/>
        </w:tcBorders>
      </w:tcPr>
    </w:tblStylePr>
    <w:tblStylePr w:type="firstCol">
      <w:rPr>
        <w:b/>
        <w:bCs/>
      </w:rPr>
    </w:tblStylePr>
    <w:tblStylePr w:type="lastCol">
      <w:rPr>
        <w:b/>
        <w:bCs/>
      </w:rPr>
      <w:tblPr/>
      <w:tcPr>
        <w:tcBorders>
          <w:top w:val="single" w:sz="8" w:space="0" w:color="029676" w:themeColor="accent4"/>
          <w:bottom w:val="single" w:sz="8" w:space="0" w:color="029676" w:themeColor="accent4"/>
        </w:tcBorders>
      </w:tcPr>
    </w:tblStylePr>
    <w:tblStylePr w:type="band1Vert">
      <w:tblPr/>
      <w:tcPr>
        <w:shd w:val="clear" w:color="auto" w:fill="A7FDEA" w:themeFill="accent4" w:themeFillTint="3F"/>
      </w:tcPr>
    </w:tblStylePr>
    <w:tblStylePr w:type="band1Horz">
      <w:tblPr/>
      <w:tcPr>
        <w:shd w:val="clear" w:color="auto" w:fill="A7FDE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AB5C4" w:themeColor="accent5"/>
        <w:bottom w:val="single" w:sz="8" w:space="0" w:color="4AB5C4" w:themeColor="accent5"/>
      </w:tblBorders>
    </w:tblPr>
    <w:tblStylePr w:type="firstRow">
      <w:rPr>
        <w:rFonts w:asciiTheme="majorHAnsi" w:eastAsiaTheme="majorEastAsia" w:hAnsiTheme="majorHAnsi" w:cstheme="majorBidi"/>
      </w:rPr>
      <w:tblPr/>
      <w:tcPr>
        <w:tcBorders>
          <w:top w:val="nil"/>
          <w:bottom w:val="single" w:sz="8" w:space="0" w:color="4AB5C4" w:themeColor="accent5"/>
        </w:tcBorders>
      </w:tcPr>
    </w:tblStylePr>
    <w:tblStylePr w:type="lastRow">
      <w:rPr>
        <w:b/>
        <w:bCs/>
        <w:color w:val="455F51" w:themeColor="text2"/>
      </w:rPr>
      <w:tblPr/>
      <w:tcPr>
        <w:tcBorders>
          <w:top w:val="single" w:sz="8" w:space="0" w:color="4AB5C4" w:themeColor="accent5"/>
          <w:bottom w:val="single" w:sz="8" w:space="0" w:color="4AB5C4" w:themeColor="accent5"/>
        </w:tcBorders>
      </w:tcPr>
    </w:tblStylePr>
    <w:tblStylePr w:type="firstCol">
      <w:rPr>
        <w:b/>
        <w:bCs/>
      </w:rPr>
    </w:tblStylePr>
    <w:tblStylePr w:type="lastCol">
      <w:rPr>
        <w:b/>
        <w:bCs/>
      </w:rPr>
      <w:tblPr/>
      <w:tcPr>
        <w:tcBorders>
          <w:top w:val="single" w:sz="8" w:space="0" w:color="4AB5C4" w:themeColor="accent5"/>
          <w:bottom w:val="single" w:sz="8" w:space="0" w:color="4AB5C4" w:themeColor="accent5"/>
        </w:tcBorders>
      </w:tcPr>
    </w:tblStylePr>
    <w:tblStylePr w:type="band1Vert">
      <w:tblPr/>
      <w:tcPr>
        <w:shd w:val="clear" w:color="auto" w:fill="D2ECF0" w:themeFill="accent5" w:themeFillTint="3F"/>
      </w:tcPr>
    </w:tblStylePr>
    <w:tblStylePr w:type="band1Horz">
      <w:tblPr/>
      <w:tcPr>
        <w:shd w:val="clear" w:color="auto" w:fill="D2ECF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0989B1" w:themeColor="accent6"/>
        <w:bottom w:val="single" w:sz="8" w:space="0" w:color="0989B1" w:themeColor="accent6"/>
      </w:tblBorders>
    </w:tblPr>
    <w:tblStylePr w:type="firstRow">
      <w:rPr>
        <w:rFonts w:asciiTheme="majorHAnsi" w:eastAsiaTheme="majorEastAsia" w:hAnsiTheme="majorHAnsi" w:cstheme="majorBidi"/>
      </w:rPr>
      <w:tblPr/>
      <w:tcPr>
        <w:tcBorders>
          <w:top w:val="nil"/>
          <w:bottom w:val="single" w:sz="8" w:space="0" w:color="0989B1" w:themeColor="accent6"/>
        </w:tcBorders>
      </w:tcPr>
    </w:tblStylePr>
    <w:tblStylePr w:type="lastRow">
      <w:rPr>
        <w:b/>
        <w:bCs/>
        <w:color w:val="455F51" w:themeColor="text2"/>
      </w:rPr>
      <w:tblPr/>
      <w:tcPr>
        <w:tcBorders>
          <w:top w:val="single" w:sz="8" w:space="0" w:color="0989B1" w:themeColor="accent6"/>
          <w:bottom w:val="single" w:sz="8" w:space="0" w:color="0989B1" w:themeColor="accent6"/>
        </w:tcBorders>
      </w:tcPr>
    </w:tblStylePr>
    <w:tblStylePr w:type="firstCol">
      <w:rPr>
        <w:b/>
        <w:bCs/>
      </w:rPr>
    </w:tblStylePr>
    <w:tblStylePr w:type="lastCol">
      <w:rPr>
        <w:b/>
        <w:bCs/>
      </w:rPr>
      <w:tblPr/>
      <w:tcPr>
        <w:tcBorders>
          <w:top w:val="single" w:sz="8" w:space="0" w:color="0989B1" w:themeColor="accent6"/>
          <w:bottom w:val="single" w:sz="8" w:space="0" w:color="0989B1" w:themeColor="accent6"/>
        </w:tcBorders>
      </w:tcPr>
    </w:tblStylePr>
    <w:tblStylePr w:type="band1Vert">
      <w:tblPr/>
      <w:tcPr>
        <w:shd w:val="clear" w:color="auto" w:fill="B2E9FB" w:themeFill="accent6" w:themeFillTint="3F"/>
      </w:tcPr>
    </w:tblStylePr>
    <w:tblStylePr w:type="band1Horz">
      <w:tblPr/>
      <w:tcPr>
        <w:shd w:val="clear" w:color="auto" w:fill="B2E9F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rPr>
        <w:sz w:val="24"/>
        <w:szCs w:val="24"/>
      </w:rPr>
      <w:tblPr/>
      <w:tcPr>
        <w:tcBorders>
          <w:top w:val="nil"/>
          <w:left w:val="nil"/>
          <w:bottom w:val="single" w:sz="24" w:space="0" w:color="549E39" w:themeColor="accent1"/>
          <w:right w:val="nil"/>
          <w:insideH w:val="nil"/>
          <w:insideV w:val="nil"/>
        </w:tcBorders>
        <w:shd w:val="clear" w:color="auto" w:fill="FFFFFF" w:themeFill="background1"/>
      </w:tcPr>
    </w:tblStylePr>
    <w:tblStylePr w:type="lastRow">
      <w:tblPr/>
      <w:tcPr>
        <w:tcBorders>
          <w:top w:val="single" w:sz="8" w:space="0" w:color="549E3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E39" w:themeColor="accent1"/>
          <w:insideH w:val="nil"/>
          <w:insideV w:val="nil"/>
        </w:tcBorders>
        <w:shd w:val="clear" w:color="auto" w:fill="FFFFFF" w:themeFill="background1"/>
      </w:tcPr>
    </w:tblStylePr>
    <w:tblStylePr w:type="lastCol">
      <w:tblPr/>
      <w:tcPr>
        <w:tcBorders>
          <w:top w:val="nil"/>
          <w:left w:val="single" w:sz="8" w:space="0" w:color="549E3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top w:val="nil"/>
          <w:bottom w:val="nil"/>
          <w:insideH w:val="nil"/>
          <w:insideV w:val="nil"/>
        </w:tcBorders>
        <w:shd w:val="clear" w:color="auto" w:fill="D2EB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rPr>
        <w:sz w:val="24"/>
        <w:szCs w:val="24"/>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tblPr/>
      <w:tcPr>
        <w:tcBorders>
          <w:top w:val="single" w:sz="8" w:space="0" w:color="8AB83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B833" w:themeColor="accent2"/>
          <w:insideH w:val="nil"/>
          <w:insideV w:val="nil"/>
        </w:tcBorders>
        <w:shd w:val="clear" w:color="auto" w:fill="FFFFFF" w:themeFill="background1"/>
      </w:tcPr>
    </w:tblStylePr>
    <w:tblStylePr w:type="lastCol">
      <w:tblPr/>
      <w:tcPr>
        <w:tcBorders>
          <w:top w:val="nil"/>
          <w:left w:val="single" w:sz="8" w:space="0" w:color="8AB8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top w:val="nil"/>
          <w:bottom w:val="nil"/>
          <w:insideH w:val="nil"/>
          <w:insideV w:val="nil"/>
        </w:tcBorders>
        <w:shd w:val="clear" w:color="auto" w:fill="E2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rPr>
        <w:sz w:val="24"/>
        <w:szCs w:val="24"/>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tblPr/>
      <w:tcPr>
        <w:tcBorders>
          <w:top w:val="single" w:sz="8" w:space="0" w:color="C0CF3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CF3A" w:themeColor="accent3"/>
          <w:insideH w:val="nil"/>
          <w:insideV w:val="nil"/>
        </w:tcBorders>
        <w:shd w:val="clear" w:color="auto" w:fill="FFFFFF" w:themeFill="background1"/>
      </w:tcPr>
    </w:tblStylePr>
    <w:tblStylePr w:type="lastCol">
      <w:tblPr/>
      <w:tcPr>
        <w:tcBorders>
          <w:top w:val="nil"/>
          <w:left w:val="single" w:sz="8" w:space="0" w:color="C0CF3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top w:val="nil"/>
          <w:bottom w:val="nil"/>
          <w:insideH w:val="nil"/>
          <w:insideV w:val="nil"/>
        </w:tcBorders>
        <w:shd w:val="clear" w:color="auto" w:fill="EFF3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rPr>
        <w:sz w:val="24"/>
        <w:szCs w:val="24"/>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tblPr/>
      <w:tcPr>
        <w:tcBorders>
          <w:top w:val="single" w:sz="8" w:space="0" w:color="02967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9676" w:themeColor="accent4"/>
          <w:insideH w:val="nil"/>
          <w:insideV w:val="nil"/>
        </w:tcBorders>
        <w:shd w:val="clear" w:color="auto" w:fill="FFFFFF" w:themeFill="background1"/>
      </w:tcPr>
    </w:tblStylePr>
    <w:tblStylePr w:type="lastCol">
      <w:tblPr/>
      <w:tcPr>
        <w:tcBorders>
          <w:top w:val="nil"/>
          <w:left w:val="single" w:sz="8" w:space="0" w:color="02967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top w:val="nil"/>
          <w:bottom w:val="nil"/>
          <w:insideH w:val="nil"/>
          <w:insideV w:val="nil"/>
        </w:tcBorders>
        <w:shd w:val="clear" w:color="auto" w:fill="A7FDE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rPr>
        <w:sz w:val="24"/>
        <w:szCs w:val="24"/>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tblPr/>
      <w:tcPr>
        <w:tcBorders>
          <w:top w:val="single" w:sz="8" w:space="0" w:color="4AB5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B5C4" w:themeColor="accent5"/>
          <w:insideH w:val="nil"/>
          <w:insideV w:val="nil"/>
        </w:tcBorders>
        <w:shd w:val="clear" w:color="auto" w:fill="FFFFFF" w:themeFill="background1"/>
      </w:tcPr>
    </w:tblStylePr>
    <w:tblStylePr w:type="lastCol">
      <w:tblPr/>
      <w:tcPr>
        <w:tcBorders>
          <w:top w:val="nil"/>
          <w:left w:val="single" w:sz="8" w:space="0" w:color="4AB5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top w:val="nil"/>
          <w:bottom w:val="nil"/>
          <w:insideH w:val="nil"/>
          <w:insideV w:val="nil"/>
        </w:tcBorders>
        <w:shd w:val="clear" w:color="auto" w:fill="D2EC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rPr>
        <w:sz w:val="24"/>
        <w:szCs w:val="24"/>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tblPr/>
      <w:tcPr>
        <w:tcBorders>
          <w:top w:val="single" w:sz="8" w:space="0" w:color="0989B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989B1" w:themeColor="accent6"/>
          <w:insideH w:val="nil"/>
          <w:insideV w:val="nil"/>
        </w:tcBorders>
        <w:shd w:val="clear" w:color="auto" w:fill="FFFFFF" w:themeFill="background1"/>
      </w:tcPr>
    </w:tblStylePr>
    <w:tblStylePr w:type="lastCol">
      <w:tblPr/>
      <w:tcPr>
        <w:tcBorders>
          <w:top w:val="nil"/>
          <w:left w:val="single" w:sz="8" w:space="0" w:color="0989B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top w:val="nil"/>
          <w:bottom w:val="nil"/>
          <w:insideH w:val="nil"/>
          <w:insideV w:val="nil"/>
        </w:tcBorders>
        <w:shd w:val="clear" w:color="auto" w:fill="B2E9F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insideV w:val="single" w:sz="8" w:space="0" w:color="78C45C" w:themeColor="accent1" w:themeTint="BF"/>
      </w:tblBorders>
    </w:tblPr>
    <w:tcPr>
      <w:shd w:val="clear" w:color="auto" w:fill="D2EBC9" w:themeFill="accent1" w:themeFillTint="3F"/>
    </w:tcPr>
    <w:tblStylePr w:type="firstRow">
      <w:rPr>
        <w:b/>
        <w:bCs/>
      </w:rPr>
    </w:tblStylePr>
    <w:tblStylePr w:type="lastRow">
      <w:rPr>
        <w:b/>
        <w:bCs/>
      </w:rPr>
      <w:tblPr/>
      <w:tcPr>
        <w:tcBorders>
          <w:top w:val="single" w:sz="18" w:space="0" w:color="78C45C" w:themeColor="accent1" w:themeTint="BF"/>
        </w:tcBorders>
      </w:tcPr>
    </w:tblStylePr>
    <w:tblStylePr w:type="firstCol">
      <w:rPr>
        <w:b/>
        <w:bCs/>
      </w:rPr>
    </w:tblStylePr>
    <w:tblStylePr w:type="lastCol">
      <w:rPr>
        <w:b/>
        <w:bCs/>
      </w:r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insideV w:val="single" w:sz="8" w:space="0" w:color="A9D25D" w:themeColor="accent2" w:themeTint="BF"/>
      </w:tblBorders>
    </w:tblPr>
    <w:tcPr>
      <w:shd w:val="clear" w:color="auto" w:fill="E2F0C9" w:themeFill="accent2" w:themeFillTint="3F"/>
    </w:tcPr>
    <w:tblStylePr w:type="firstRow">
      <w:rPr>
        <w:b/>
        <w:bCs/>
      </w:rPr>
    </w:tblStylePr>
    <w:tblStylePr w:type="lastRow">
      <w:rPr>
        <w:b/>
        <w:bCs/>
      </w:rPr>
      <w:tblPr/>
      <w:tcPr>
        <w:tcBorders>
          <w:top w:val="single" w:sz="18" w:space="0" w:color="A9D25D" w:themeColor="accent2" w:themeTint="BF"/>
        </w:tcBorders>
      </w:tcPr>
    </w:tblStylePr>
    <w:tblStylePr w:type="firstCol">
      <w:rPr>
        <w:b/>
        <w:bCs/>
      </w:rPr>
    </w:tblStylePr>
    <w:tblStylePr w:type="lastCol">
      <w:rPr>
        <w:b/>
        <w:bCs/>
      </w:r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insideV w:val="single" w:sz="8" w:space="0" w:color="CFDB6B" w:themeColor="accent3" w:themeTint="BF"/>
      </w:tblBorders>
    </w:tblPr>
    <w:tcPr>
      <w:shd w:val="clear" w:color="auto" w:fill="EFF3CE" w:themeFill="accent3" w:themeFillTint="3F"/>
    </w:tcPr>
    <w:tblStylePr w:type="firstRow">
      <w:rPr>
        <w:b/>
        <w:bCs/>
      </w:rPr>
    </w:tblStylePr>
    <w:tblStylePr w:type="lastRow">
      <w:rPr>
        <w:b/>
        <w:bCs/>
      </w:rPr>
      <w:tblPr/>
      <w:tcPr>
        <w:tcBorders>
          <w:top w:val="single" w:sz="18" w:space="0" w:color="CFDB6B" w:themeColor="accent3" w:themeTint="BF"/>
        </w:tcBorders>
      </w:tcPr>
    </w:tblStylePr>
    <w:tblStylePr w:type="firstCol">
      <w:rPr>
        <w:b/>
        <w:bCs/>
      </w:rPr>
    </w:tblStylePr>
    <w:tblStylePr w:type="lastCol">
      <w:rPr>
        <w:b/>
        <w:bCs/>
      </w:r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insideV w:val="single" w:sz="8" w:space="0" w:color="03EEBA" w:themeColor="accent4" w:themeTint="BF"/>
      </w:tblBorders>
    </w:tblPr>
    <w:tcPr>
      <w:shd w:val="clear" w:color="auto" w:fill="A7FDEA" w:themeFill="accent4" w:themeFillTint="3F"/>
    </w:tcPr>
    <w:tblStylePr w:type="firstRow">
      <w:rPr>
        <w:b/>
        <w:bCs/>
      </w:rPr>
    </w:tblStylePr>
    <w:tblStylePr w:type="lastRow">
      <w:rPr>
        <w:b/>
        <w:bCs/>
      </w:rPr>
      <w:tblPr/>
      <w:tcPr>
        <w:tcBorders>
          <w:top w:val="single" w:sz="18" w:space="0" w:color="03EEBA" w:themeColor="accent4" w:themeTint="BF"/>
        </w:tcBorders>
      </w:tcPr>
    </w:tblStylePr>
    <w:tblStylePr w:type="firstCol">
      <w:rPr>
        <w:b/>
        <w:bCs/>
      </w:rPr>
    </w:tblStylePr>
    <w:tblStylePr w:type="lastCol">
      <w:rPr>
        <w:b/>
        <w:bCs/>
      </w:r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insideV w:val="single" w:sz="8" w:space="0" w:color="77C7D2" w:themeColor="accent5" w:themeTint="BF"/>
      </w:tblBorders>
    </w:tblPr>
    <w:tcPr>
      <w:shd w:val="clear" w:color="auto" w:fill="D2ECF0" w:themeFill="accent5" w:themeFillTint="3F"/>
    </w:tcPr>
    <w:tblStylePr w:type="firstRow">
      <w:rPr>
        <w:b/>
        <w:bCs/>
      </w:rPr>
    </w:tblStylePr>
    <w:tblStylePr w:type="lastRow">
      <w:rPr>
        <w:b/>
        <w:bCs/>
      </w:rPr>
      <w:tblPr/>
      <w:tcPr>
        <w:tcBorders>
          <w:top w:val="single" w:sz="18" w:space="0" w:color="77C7D2" w:themeColor="accent5" w:themeTint="BF"/>
        </w:tcBorders>
      </w:tcPr>
    </w:tblStylePr>
    <w:tblStylePr w:type="firstCol">
      <w:rPr>
        <w:b/>
        <w:bCs/>
      </w:rPr>
    </w:tblStylePr>
    <w:tblStylePr w:type="lastCol">
      <w:rPr>
        <w:b/>
        <w:bCs/>
      </w:r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insideV w:val="single" w:sz="8" w:space="0" w:color="17BEF3" w:themeColor="accent6" w:themeTint="BF"/>
      </w:tblBorders>
    </w:tblPr>
    <w:tcPr>
      <w:shd w:val="clear" w:color="auto" w:fill="B2E9FB" w:themeFill="accent6" w:themeFillTint="3F"/>
    </w:tcPr>
    <w:tblStylePr w:type="firstRow">
      <w:rPr>
        <w:b/>
        <w:bCs/>
      </w:rPr>
    </w:tblStylePr>
    <w:tblStylePr w:type="lastRow">
      <w:rPr>
        <w:b/>
        <w:bCs/>
      </w:rPr>
      <w:tblPr/>
      <w:tcPr>
        <w:tcBorders>
          <w:top w:val="single" w:sz="18" w:space="0" w:color="17BEF3" w:themeColor="accent6" w:themeTint="BF"/>
        </w:tcBorders>
      </w:tcPr>
    </w:tblStylePr>
    <w:tblStylePr w:type="firstCol">
      <w:rPr>
        <w:b/>
        <w:bCs/>
      </w:rPr>
    </w:tblStylePr>
    <w:tblStylePr w:type="lastCol">
      <w:rPr>
        <w:b/>
        <w:bCs/>
      </w:r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cPr>
      <w:shd w:val="clear" w:color="auto" w:fill="D2EBC9" w:themeFill="accent1" w:themeFillTint="3F"/>
    </w:tcPr>
    <w:tblStylePr w:type="firstRow">
      <w:rPr>
        <w:b/>
        <w:bCs/>
        <w:color w:val="000000" w:themeColor="text1"/>
      </w:rPr>
      <w:tblPr/>
      <w:tcPr>
        <w:shd w:val="clear" w:color="auto" w:fill="EDF7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FD3" w:themeFill="accent1" w:themeFillTint="33"/>
      </w:tcPr>
    </w:tblStylePr>
    <w:tblStylePr w:type="band1Vert">
      <w:tblPr/>
      <w:tcPr>
        <w:shd w:val="clear" w:color="auto" w:fill="A5D893" w:themeFill="accent1" w:themeFillTint="7F"/>
      </w:tcPr>
    </w:tblStylePr>
    <w:tblStylePr w:type="band1Horz">
      <w:tblPr/>
      <w:tcPr>
        <w:tcBorders>
          <w:insideH w:val="single" w:sz="6" w:space="0" w:color="549E39" w:themeColor="accent1"/>
          <w:insideV w:val="single" w:sz="6" w:space="0" w:color="549E39" w:themeColor="accent1"/>
        </w:tcBorders>
        <w:shd w:val="clear" w:color="auto" w:fill="A5D89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cPr>
      <w:shd w:val="clear" w:color="auto" w:fill="E2F0C9" w:themeFill="accent2" w:themeFillTint="3F"/>
    </w:tcPr>
    <w:tblStylePr w:type="firstRow">
      <w:rPr>
        <w:b/>
        <w:bCs/>
        <w:color w:val="000000" w:themeColor="text1"/>
      </w:rPr>
      <w:tblPr/>
      <w:tcPr>
        <w:shd w:val="clear" w:color="auto" w:fill="F3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F3D3" w:themeFill="accent2" w:themeFillTint="33"/>
      </w:tcPr>
    </w:tblStylePr>
    <w:tblStylePr w:type="band1Vert">
      <w:tblPr/>
      <w:tcPr>
        <w:shd w:val="clear" w:color="auto" w:fill="C6E193" w:themeFill="accent2" w:themeFillTint="7F"/>
      </w:tcPr>
    </w:tblStylePr>
    <w:tblStylePr w:type="band1Horz">
      <w:tblPr/>
      <w:tcPr>
        <w:tcBorders>
          <w:insideH w:val="single" w:sz="6" w:space="0" w:color="8AB833" w:themeColor="accent2"/>
          <w:insideV w:val="single" w:sz="6" w:space="0" w:color="8AB833" w:themeColor="accent2"/>
        </w:tcBorders>
        <w:shd w:val="clear" w:color="auto" w:fill="C6E19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cPr>
      <w:shd w:val="clear" w:color="auto" w:fill="EFF3CE" w:themeFill="accent3" w:themeFillTint="3F"/>
    </w:tcPr>
    <w:tblStylePr w:type="firstRow">
      <w:rPr>
        <w:b/>
        <w:bCs/>
        <w:color w:val="000000" w:themeColor="text1"/>
      </w:rPr>
      <w:tblPr/>
      <w:tcPr>
        <w:shd w:val="clear" w:color="auto" w:fill="F8FA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5D7" w:themeFill="accent3" w:themeFillTint="33"/>
      </w:tcPr>
    </w:tblStylePr>
    <w:tblStylePr w:type="band1Vert">
      <w:tblPr/>
      <w:tcPr>
        <w:shd w:val="clear" w:color="auto" w:fill="DFE79C" w:themeFill="accent3" w:themeFillTint="7F"/>
      </w:tcPr>
    </w:tblStylePr>
    <w:tblStylePr w:type="band1Horz">
      <w:tblPr/>
      <w:tcPr>
        <w:tcBorders>
          <w:insideH w:val="single" w:sz="6" w:space="0" w:color="C0CF3A" w:themeColor="accent3"/>
          <w:insideV w:val="single" w:sz="6" w:space="0" w:color="C0CF3A" w:themeColor="accent3"/>
        </w:tcBorders>
        <w:shd w:val="clear" w:color="auto" w:fill="DFE79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cPr>
      <w:shd w:val="clear" w:color="auto" w:fill="A7FDEA" w:themeFill="accent4" w:themeFillTint="3F"/>
    </w:tcPr>
    <w:tblStylePr w:type="firstRow">
      <w:rPr>
        <w:b/>
        <w:bCs/>
        <w:color w:val="000000" w:themeColor="text1"/>
      </w:rPr>
      <w:tblPr/>
      <w:tcPr>
        <w:shd w:val="clear" w:color="auto" w:fill="DCFE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FEEE" w:themeFill="accent4" w:themeFillTint="33"/>
      </w:tcPr>
    </w:tblStylePr>
    <w:tblStylePr w:type="band1Vert">
      <w:tblPr/>
      <w:tcPr>
        <w:shd w:val="clear" w:color="auto" w:fill="4FFCD6" w:themeFill="accent4" w:themeFillTint="7F"/>
      </w:tcPr>
    </w:tblStylePr>
    <w:tblStylePr w:type="band1Horz">
      <w:tblPr/>
      <w:tcPr>
        <w:tcBorders>
          <w:insideH w:val="single" w:sz="6" w:space="0" w:color="029676" w:themeColor="accent4"/>
          <w:insideV w:val="single" w:sz="6" w:space="0" w:color="029676" w:themeColor="accent4"/>
        </w:tcBorders>
        <w:shd w:val="clear" w:color="auto" w:fill="4FFCD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cPr>
      <w:shd w:val="clear" w:color="auto" w:fill="D2ECF0" w:themeFill="accent5" w:themeFillTint="3F"/>
    </w:tcPr>
    <w:tblStylePr w:type="firstRow">
      <w:rPr>
        <w:b/>
        <w:bCs/>
        <w:color w:val="000000" w:themeColor="text1"/>
      </w:rPr>
      <w:tblPr/>
      <w:tcPr>
        <w:shd w:val="clear" w:color="auto" w:fill="EDF7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F0F3" w:themeFill="accent5" w:themeFillTint="33"/>
      </w:tcPr>
    </w:tblStylePr>
    <w:tblStylePr w:type="band1Vert">
      <w:tblPr/>
      <w:tcPr>
        <w:shd w:val="clear" w:color="auto" w:fill="A4DAE1" w:themeFill="accent5" w:themeFillTint="7F"/>
      </w:tcPr>
    </w:tblStylePr>
    <w:tblStylePr w:type="band1Horz">
      <w:tblPr/>
      <w:tcPr>
        <w:tcBorders>
          <w:insideH w:val="single" w:sz="6" w:space="0" w:color="4AB5C4" w:themeColor="accent5"/>
          <w:insideV w:val="single" w:sz="6" w:space="0" w:color="4AB5C4" w:themeColor="accent5"/>
        </w:tcBorders>
        <w:shd w:val="clear" w:color="auto" w:fill="A4DA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cPr>
      <w:shd w:val="clear" w:color="auto" w:fill="B2E9FB" w:themeFill="accent6" w:themeFillTint="3F"/>
    </w:tcPr>
    <w:tblStylePr w:type="firstRow">
      <w:rPr>
        <w:b/>
        <w:bCs/>
        <w:color w:val="000000" w:themeColor="text1"/>
      </w:rPr>
      <w:tblPr/>
      <w:tcPr>
        <w:shd w:val="clear" w:color="auto" w:fill="E0F6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DFC" w:themeFill="accent6" w:themeFillTint="33"/>
      </w:tcPr>
    </w:tblStylePr>
    <w:tblStylePr w:type="band1Vert">
      <w:tblPr/>
      <w:tcPr>
        <w:shd w:val="clear" w:color="auto" w:fill="65D4F7" w:themeFill="accent6" w:themeFillTint="7F"/>
      </w:tcPr>
    </w:tblStylePr>
    <w:tblStylePr w:type="band1Horz">
      <w:tblPr/>
      <w:tcPr>
        <w:tcBorders>
          <w:insideH w:val="single" w:sz="6" w:space="0" w:color="0989B1" w:themeColor="accent6"/>
          <w:insideV w:val="single" w:sz="6" w:space="0" w:color="0989B1" w:themeColor="accent6"/>
        </w:tcBorders>
        <w:shd w:val="clear" w:color="auto" w:fill="65D4F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BC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E3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E3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89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893"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F0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B8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B8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6E19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6E19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F3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CF3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CF3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E79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E79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7FDE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967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967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FFCD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FFCD6"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C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B5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B5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DA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4DAE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9F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989B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989B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5D4F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5D4F7"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549E3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E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E762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E762A" w:themeFill="accent1" w:themeFillShade="BF"/>
      </w:tcPr>
    </w:tblStylePr>
    <w:tblStylePr w:type="band1Vert">
      <w:tblPr/>
      <w:tcPr>
        <w:tcBorders>
          <w:top w:val="nil"/>
          <w:left w:val="nil"/>
          <w:bottom w:val="nil"/>
          <w:right w:val="nil"/>
          <w:insideH w:val="nil"/>
          <w:insideV w:val="nil"/>
        </w:tcBorders>
        <w:shd w:val="clear" w:color="auto" w:fill="3E762A" w:themeFill="accent1" w:themeFillShade="BF"/>
      </w:tcPr>
    </w:tblStylePr>
    <w:tblStylePr w:type="band1Horz">
      <w:tblPr/>
      <w:tcPr>
        <w:tcBorders>
          <w:top w:val="nil"/>
          <w:left w:val="nil"/>
          <w:bottom w:val="nil"/>
          <w:right w:val="nil"/>
          <w:insideH w:val="nil"/>
          <w:insideV w:val="nil"/>
        </w:tcBorders>
        <w:shd w:val="clear" w:color="auto" w:fill="3E762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8AB8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5B1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6892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68926" w:themeFill="accent2" w:themeFillShade="BF"/>
      </w:tcPr>
    </w:tblStylePr>
    <w:tblStylePr w:type="band1Vert">
      <w:tblPr/>
      <w:tcPr>
        <w:tcBorders>
          <w:top w:val="nil"/>
          <w:left w:val="nil"/>
          <w:bottom w:val="nil"/>
          <w:right w:val="nil"/>
          <w:insideH w:val="nil"/>
          <w:insideV w:val="nil"/>
        </w:tcBorders>
        <w:shd w:val="clear" w:color="auto" w:fill="668926" w:themeFill="accent2" w:themeFillShade="BF"/>
      </w:tcPr>
    </w:tblStylePr>
    <w:tblStylePr w:type="band1Horz">
      <w:tblPr/>
      <w:tcPr>
        <w:tcBorders>
          <w:top w:val="nil"/>
          <w:left w:val="nil"/>
          <w:bottom w:val="nil"/>
          <w:right w:val="nil"/>
          <w:insideH w:val="nil"/>
          <w:insideV w:val="nil"/>
        </w:tcBorders>
        <w:shd w:val="clear" w:color="auto" w:fill="668926"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C0CF3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691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39F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39F27" w:themeFill="accent3" w:themeFillShade="BF"/>
      </w:tcPr>
    </w:tblStylePr>
    <w:tblStylePr w:type="band1Vert">
      <w:tblPr/>
      <w:tcPr>
        <w:tcBorders>
          <w:top w:val="nil"/>
          <w:left w:val="nil"/>
          <w:bottom w:val="nil"/>
          <w:right w:val="nil"/>
          <w:insideH w:val="nil"/>
          <w:insideV w:val="nil"/>
        </w:tcBorders>
        <w:shd w:val="clear" w:color="auto" w:fill="939F27" w:themeFill="accent3" w:themeFillShade="BF"/>
      </w:tcPr>
    </w:tblStylePr>
    <w:tblStylePr w:type="band1Horz">
      <w:tblPr/>
      <w:tcPr>
        <w:tcBorders>
          <w:top w:val="nil"/>
          <w:left w:val="nil"/>
          <w:bottom w:val="nil"/>
          <w:right w:val="nil"/>
          <w:insideH w:val="nil"/>
          <w:insideV w:val="nil"/>
        </w:tcBorders>
        <w:shd w:val="clear" w:color="auto" w:fill="939F27"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2967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4A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170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17057" w:themeFill="accent4" w:themeFillShade="BF"/>
      </w:tcPr>
    </w:tblStylePr>
    <w:tblStylePr w:type="band1Vert">
      <w:tblPr/>
      <w:tcPr>
        <w:tcBorders>
          <w:top w:val="nil"/>
          <w:left w:val="nil"/>
          <w:bottom w:val="nil"/>
          <w:right w:val="nil"/>
          <w:insideH w:val="nil"/>
          <w:insideV w:val="nil"/>
        </w:tcBorders>
        <w:shd w:val="clear" w:color="auto" w:fill="017057" w:themeFill="accent4" w:themeFillShade="BF"/>
      </w:tcPr>
    </w:tblStylePr>
    <w:tblStylePr w:type="band1Horz">
      <w:tblPr/>
      <w:tcPr>
        <w:tcBorders>
          <w:top w:val="nil"/>
          <w:left w:val="nil"/>
          <w:bottom w:val="nil"/>
          <w:right w:val="nil"/>
          <w:insideH w:val="nil"/>
          <w:insideV w:val="nil"/>
        </w:tcBorders>
        <w:shd w:val="clear" w:color="auto" w:fill="017057"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AB5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6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B9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B98" w:themeFill="accent5" w:themeFillShade="BF"/>
      </w:tcPr>
    </w:tblStylePr>
    <w:tblStylePr w:type="band1Vert">
      <w:tblPr/>
      <w:tcPr>
        <w:tcBorders>
          <w:top w:val="nil"/>
          <w:left w:val="nil"/>
          <w:bottom w:val="nil"/>
          <w:right w:val="nil"/>
          <w:insideH w:val="nil"/>
          <w:insideV w:val="nil"/>
        </w:tcBorders>
        <w:shd w:val="clear" w:color="auto" w:fill="318B98" w:themeFill="accent5" w:themeFillShade="BF"/>
      </w:tcPr>
    </w:tblStylePr>
    <w:tblStylePr w:type="band1Horz">
      <w:tblPr/>
      <w:tcPr>
        <w:tcBorders>
          <w:top w:val="nil"/>
          <w:left w:val="nil"/>
          <w:bottom w:val="nil"/>
          <w:right w:val="nil"/>
          <w:insideH w:val="nil"/>
          <w:insideV w:val="nil"/>
        </w:tcBorders>
        <w:shd w:val="clear" w:color="auto" w:fill="318B98"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0989B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4435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6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66684" w:themeFill="accent6" w:themeFillShade="BF"/>
      </w:tcPr>
    </w:tblStylePr>
    <w:tblStylePr w:type="band1Vert">
      <w:tblPr/>
      <w:tcPr>
        <w:tcBorders>
          <w:top w:val="nil"/>
          <w:left w:val="nil"/>
          <w:bottom w:val="nil"/>
          <w:right w:val="nil"/>
          <w:insideH w:val="nil"/>
          <w:insideV w:val="nil"/>
        </w:tcBorders>
        <w:shd w:val="clear" w:color="auto" w:fill="066684" w:themeFill="accent6" w:themeFillShade="BF"/>
      </w:tcPr>
    </w:tblStylePr>
    <w:tblStylePr w:type="band1Horz">
      <w:tblPr/>
      <w:tcPr>
        <w:tcBorders>
          <w:top w:val="nil"/>
          <w:left w:val="nil"/>
          <w:bottom w:val="nil"/>
          <w:right w:val="nil"/>
          <w:insideH w:val="nil"/>
          <w:insideV w:val="nil"/>
        </w:tcBorders>
        <w:shd w:val="clear" w:color="auto" w:fill="066684"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549E39" w:themeColor="accent1"/>
        <w:bottom w:val="single" w:sz="4" w:space="0" w:color="549E39" w:themeColor="accent1"/>
        <w:right w:val="single" w:sz="4" w:space="0" w:color="549E39" w:themeColor="accent1"/>
        <w:insideH w:val="single" w:sz="4" w:space="0" w:color="FFFFFF" w:themeColor="background1"/>
        <w:insideV w:val="single" w:sz="4" w:space="0" w:color="FFFFFF" w:themeColor="background1"/>
      </w:tblBorders>
    </w:tblPr>
    <w:tcPr>
      <w:shd w:val="clear" w:color="auto" w:fill="EDF7E9" w:themeFill="accen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5E22" w:themeFill="accent1" w:themeFillShade="99"/>
      </w:tcPr>
    </w:tblStylePr>
    <w:tblStylePr w:type="firstCol">
      <w:rPr>
        <w:color w:val="FFFFFF" w:themeColor="background1"/>
      </w:rPr>
      <w:tblPr/>
      <w:tcPr>
        <w:tcBorders>
          <w:top w:val="nil"/>
          <w:left w:val="nil"/>
          <w:bottom w:val="nil"/>
          <w:right w:val="nil"/>
          <w:insideH w:val="single" w:sz="4" w:space="0" w:color="325E22" w:themeColor="accent1" w:themeShade="99"/>
          <w:insideV w:val="nil"/>
        </w:tcBorders>
        <w:shd w:val="clear" w:color="auto" w:fill="325E2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25E22" w:themeFill="accent1" w:themeFillShade="99"/>
      </w:tcPr>
    </w:tblStylePr>
    <w:tblStylePr w:type="band1Vert">
      <w:tblPr/>
      <w:tcPr>
        <w:shd w:val="clear" w:color="auto" w:fill="B7DFA8" w:themeFill="accent1" w:themeFillTint="66"/>
      </w:tcPr>
    </w:tblStylePr>
    <w:tblStylePr w:type="band1Horz">
      <w:tblPr/>
      <w:tcPr>
        <w:shd w:val="clear" w:color="auto" w:fill="A5D89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8AB833" w:themeColor="accent2"/>
        <w:bottom w:val="single" w:sz="4" w:space="0" w:color="8AB833" w:themeColor="accent2"/>
        <w:right w:val="single" w:sz="4" w:space="0" w:color="8AB833" w:themeColor="accent2"/>
        <w:insideH w:val="single" w:sz="4" w:space="0" w:color="FFFFFF" w:themeColor="background1"/>
        <w:insideV w:val="single" w:sz="4" w:space="0" w:color="FFFFFF" w:themeColor="background1"/>
      </w:tblBorders>
    </w:tblPr>
    <w:tcPr>
      <w:shd w:val="clear" w:color="auto" w:fill="F3F9E9" w:themeFill="accent2"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6E1E" w:themeFill="accent2" w:themeFillShade="99"/>
      </w:tcPr>
    </w:tblStylePr>
    <w:tblStylePr w:type="firstCol">
      <w:rPr>
        <w:color w:val="FFFFFF" w:themeColor="background1"/>
      </w:rPr>
      <w:tblPr/>
      <w:tcPr>
        <w:tcBorders>
          <w:top w:val="nil"/>
          <w:left w:val="nil"/>
          <w:bottom w:val="nil"/>
          <w:right w:val="nil"/>
          <w:insideH w:val="single" w:sz="4" w:space="0" w:color="526E1E" w:themeColor="accent2" w:themeShade="99"/>
          <w:insideV w:val="nil"/>
        </w:tcBorders>
        <w:shd w:val="clear" w:color="auto" w:fill="526E1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26E1E" w:themeFill="accent2" w:themeFillShade="99"/>
      </w:tcPr>
    </w:tblStylePr>
    <w:tblStylePr w:type="band1Vert">
      <w:tblPr/>
      <w:tcPr>
        <w:shd w:val="clear" w:color="auto" w:fill="D1E7A8" w:themeFill="accent2" w:themeFillTint="66"/>
      </w:tcPr>
    </w:tblStylePr>
    <w:tblStylePr w:type="band1Horz">
      <w:tblPr/>
      <w:tcPr>
        <w:shd w:val="clear" w:color="auto" w:fill="C6E19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29676" w:themeColor="accent4"/>
        <w:left w:val="single" w:sz="4" w:space="0" w:color="C0CF3A" w:themeColor="accent3"/>
        <w:bottom w:val="single" w:sz="4" w:space="0" w:color="C0CF3A" w:themeColor="accent3"/>
        <w:right w:val="single" w:sz="4" w:space="0" w:color="C0CF3A" w:themeColor="accent3"/>
        <w:insideH w:val="single" w:sz="4" w:space="0" w:color="FFFFFF" w:themeColor="background1"/>
        <w:insideV w:val="single" w:sz="4" w:space="0" w:color="FFFFFF" w:themeColor="background1"/>
      </w:tblBorders>
    </w:tblPr>
    <w:tcPr>
      <w:shd w:val="clear" w:color="auto" w:fill="F8FAEB" w:themeFill="accent3" w:themeFillTint="19"/>
    </w:tcPr>
    <w:tblStylePr w:type="firstRow">
      <w:rPr>
        <w:b/>
        <w:bCs/>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7F1F" w:themeFill="accent3" w:themeFillShade="99"/>
      </w:tcPr>
    </w:tblStylePr>
    <w:tblStylePr w:type="firstCol">
      <w:rPr>
        <w:color w:val="FFFFFF" w:themeColor="background1"/>
      </w:rPr>
      <w:tblPr/>
      <w:tcPr>
        <w:tcBorders>
          <w:top w:val="nil"/>
          <w:left w:val="nil"/>
          <w:bottom w:val="nil"/>
          <w:right w:val="nil"/>
          <w:insideH w:val="single" w:sz="4" w:space="0" w:color="757F1F" w:themeColor="accent3" w:themeShade="99"/>
          <w:insideV w:val="nil"/>
        </w:tcBorders>
        <w:shd w:val="clear" w:color="auto" w:fill="757F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57F1F" w:themeFill="accent3" w:themeFillShade="99"/>
      </w:tcPr>
    </w:tblStylePr>
    <w:tblStylePr w:type="band1Vert">
      <w:tblPr/>
      <w:tcPr>
        <w:shd w:val="clear" w:color="auto" w:fill="E5EBB0" w:themeFill="accent3" w:themeFillTint="66"/>
      </w:tcPr>
    </w:tblStylePr>
    <w:tblStylePr w:type="band1Horz">
      <w:tblPr/>
      <w:tcPr>
        <w:shd w:val="clear" w:color="auto" w:fill="DFE79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C0CF3A" w:themeColor="accent3"/>
        <w:left w:val="single" w:sz="4" w:space="0" w:color="029676" w:themeColor="accent4"/>
        <w:bottom w:val="single" w:sz="4" w:space="0" w:color="029676" w:themeColor="accent4"/>
        <w:right w:val="single" w:sz="4" w:space="0" w:color="029676" w:themeColor="accent4"/>
        <w:insideH w:val="single" w:sz="4" w:space="0" w:color="FFFFFF" w:themeColor="background1"/>
        <w:insideV w:val="single" w:sz="4" w:space="0" w:color="FFFFFF" w:themeColor="background1"/>
      </w:tblBorders>
    </w:tblPr>
    <w:tcPr>
      <w:shd w:val="clear" w:color="auto" w:fill="DCFEF7" w:themeFill="accent4" w:themeFillTint="19"/>
    </w:tcPr>
    <w:tblStylePr w:type="firstRow">
      <w:rPr>
        <w:b/>
        <w:bCs/>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5946" w:themeFill="accent4" w:themeFillShade="99"/>
      </w:tcPr>
    </w:tblStylePr>
    <w:tblStylePr w:type="firstCol">
      <w:rPr>
        <w:color w:val="FFFFFF" w:themeColor="background1"/>
      </w:rPr>
      <w:tblPr/>
      <w:tcPr>
        <w:tcBorders>
          <w:top w:val="nil"/>
          <w:left w:val="nil"/>
          <w:bottom w:val="nil"/>
          <w:right w:val="nil"/>
          <w:insideH w:val="single" w:sz="4" w:space="0" w:color="015946" w:themeColor="accent4" w:themeShade="99"/>
          <w:insideV w:val="nil"/>
        </w:tcBorders>
        <w:shd w:val="clear" w:color="auto" w:fill="0159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15946" w:themeFill="accent4" w:themeFillShade="99"/>
      </w:tcPr>
    </w:tblStylePr>
    <w:tblStylePr w:type="band1Vert">
      <w:tblPr/>
      <w:tcPr>
        <w:shd w:val="clear" w:color="auto" w:fill="71FDDE" w:themeFill="accent4" w:themeFillTint="66"/>
      </w:tcPr>
    </w:tblStylePr>
    <w:tblStylePr w:type="band1Horz">
      <w:tblPr/>
      <w:tcPr>
        <w:shd w:val="clear" w:color="auto" w:fill="4FFCD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0989B1" w:themeColor="accent6"/>
        <w:left w:val="single" w:sz="4" w:space="0" w:color="4AB5C4" w:themeColor="accent5"/>
        <w:bottom w:val="single" w:sz="4" w:space="0" w:color="4AB5C4" w:themeColor="accent5"/>
        <w:right w:val="single" w:sz="4" w:space="0" w:color="4AB5C4" w:themeColor="accent5"/>
        <w:insideH w:val="single" w:sz="4" w:space="0" w:color="FFFFFF" w:themeColor="background1"/>
        <w:insideV w:val="single" w:sz="4" w:space="0" w:color="FFFFFF" w:themeColor="background1"/>
      </w:tblBorders>
    </w:tblPr>
    <w:tcPr>
      <w:shd w:val="clear" w:color="auto" w:fill="EDF7F9" w:themeFill="accent5" w:themeFillTint="19"/>
    </w:tcPr>
    <w:tblStylePr w:type="firstRow">
      <w:rPr>
        <w:b/>
        <w:bCs/>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6F7A" w:themeFill="accent5" w:themeFillShade="99"/>
      </w:tcPr>
    </w:tblStylePr>
    <w:tblStylePr w:type="firstCol">
      <w:rPr>
        <w:color w:val="FFFFFF" w:themeColor="background1"/>
      </w:rPr>
      <w:tblPr/>
      <w:tcPr>
        <w:tcBorders>
          <w:top w:val="nil"/>
          <w:left w:val="nil"/>
          <w:bottom w:val="nil"/>
          <w:right w:val="nil"/>
          <w:insideH w:val="single" w:sz="4" w:space="0" w:color="286F7A" w:themeColor="accent5" w:themeShade="99"/>
          <w:insideV w:val="nil"/>
        </w:tcBorders>
        <w:shd w:val="clear" w:color="auto" w:fill="286F7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86F7A" w:themeFill="accent5" w:themeFillShade="99"/>
      </w:tcPr>
    </w:tblStylePr>
    <w:tblStylePr w:type="band1Vert">
      <w:tblPr/>
      <w:tcPr>
        <w:shd w:val="clear" w:color="auto" w:fill="B6E1E7" w:themeFill="accent5" w:themeFillTint="66"/>
      </w:tcPr>
    </w:tblStylePr>
    <w:tblStylePr w:type="band1Horz">
      <w:tblPr/>
      <w:tcPr>
        <w:shd w:val="clear" w:color="auto" w:fill="A4DA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AB5C4" w:themeColor="accent5"/>
        <w:left w:val="single" w:sz="4" w:space="0" w:color="0989B1" w:themeColor="accent6"/>
        <w:bottom w:val="single" w:sz="4" w:space="0" w:color="0989B1" w:themeColor="accent6"/>
        <w:right w:val="single" w:sz="4" w:space="0" w:color="0989B1" w:themeColor="accent6"/>
        <w:insideH w:val="single" w:sz="4" w:space="0" w:color="FFFFFF" w:themeColor="background1"/>
        <w:insideV w:val="single" w:sz="4" w:space="0" w:color="FFFFFF" w:themeColor="background1"/>
      </w:tblBorders>
    </w:tblPr>
    <w:tcPr>
      <w:shd w:val="clear" w:color="auto" w:fill="E0F6FD" w:themeFill="accent6" w:themeFillTint="19"/>
    </w:tcPr>
    <w:tblStylePr w:type="firstRow">
      <w:rPr>
        <w:b/>
        <w:bCs/>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55169" w:themeFill="accent6" w:themeFillShade="99"/>
      </w:tcPr>
    </w:tblStylePr>
    <w:tblStylePr w:type="firstCol">
      <w:rPr>
        <w:color w:val="FFFFFF" w:themeColor="background1"/>
      </w:rPr>
      <w:tblPr/>
      <w:tcPr>
        <w:tcBorders>
          <w:top w:val="nil"/>
          <w:left w:val="nil"/>
          <w:bottom w:val="nil"/>
          <w:right w:val="nil"/>
          <w:insideH w:val="single" w:sz="4" w:space="0" w:color="055169" w:themeColor="accent6" w:themeShade="99"/>
          <w:insideV w:val="nil"/>
        </w:tcBorders>
        <w:shd w:val="clear" w:color="auto" w:fill="05516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55169" w:themeFill="accent6" w:themeFillShade="99"/>
      </w:tcPr>
    </w:tblStylePr>
    <w:tblStylePr w:type="band1Vert">
      <w:tblPr/>
      <w:tcPr>
        <w:shd w:val="clear" w:color="auto" w:fill="83DCF8" w:themeFill="accent6" w:themeFillTint="66"/>
      </w:tcPr>
    </w:tblStylePr>
    <w:tblStylePr w:type="band1Horz">
      <w:tblPr/>
      <w:tcPr>
        <w:shd w:val="clear" w:color="auto" w:fill="65D4F7"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7E9" w:themeFill="accen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BC9" w:themeFill="accent1" w:themeFillTint="3F"/>
      </w:tcPr>
    </w:tblStylePr>
    <w:tblStylePr w:type="band1Horz">
      <w:tblPr/>
      <w:tcPr>
        <w:shd w:val="clear" w:color="auto" w:fill="DAEFD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3F9E9" w:themeFill="accent2"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F0C9" w:themeFill="accent2" w:themeFillTint="3F"/>
      </w:tcPr>
    </w:tblStylePr>
    <w:tblStylePr w:type="band1Horz">
      <w:tblPr/>
      <w:tcPr>
        <w:shd w:val="clear" w:color="auto" w:fill="E8F3D3"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8FAEB" w:themeFill="accent3" w:themeFillTint="19"/>
    </w:tcPr>
    <w:tblStylePr w:type="firstRow">
      <w:rPr>
        <w:b/>
        <w:bCs/>
        <w:color w:val="FFFFFF" w:themeColor="background1"/>
      </w:rPr>
      <w:tblPr/>
      <w:tcPr>
        <w:tcBorders>
          <w:bottom w:val="single" w:sz="12" w:space="0" w:color="FFFFFF" w:themeColor="background1"/>
        </w:tcBorders>
        <w:shd w:val="clear" w:color="auto" w:fill="01775D" w:themeFill="accent4" w:themeFillShade="CC"/>
      </w:tcPr>
    </w:tblStylePr>
    <w:tblStylePr w:type="lastRow">
      <w:rPr>
        <w:b/>
        <w:bCs/>
        <w:color w:val="0177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F3CE" w:themeFill="accent3" w:themeFillTint="3F"/>
      </w:tcPr>
    </w:tblStylePr>
    <w:tblStylePr w:type="band1Horz">
      <w:tblPr/>
      <w:tcPr>
        <w:shd w:val="clear" w:color="auto" w:fill="F2F5D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DCFEF7" w:themeFill="accent4" w:themeFillTint="19"/>
    </w:tcPr>
    <w:tblStylePr w:type="firstRow">
      <w:rPr>
        <w:b/>
        <w:bCs/>
        <w:color w:val="FFFFFF" w:themeColor="background1"/>
      </w:rPr>
      <w:tblPr/>
      <w:tcPr>
        <w:tcBorders>
          <w:bottom w:val="single" w:sz="12" w:space="0" w:color="FFFFFF" w:themeColor="background1"/>
        </w:tcBorders>
        <w:shd w:val="clear" w:color="auto" w:fill="9DAA29" w:themeFill="accent3" w:themeFillShade="CC"/>
      </w:tcPr>
    </w:tblStylePr>
    <w:tblStylePr w:type="lastRow">
      <w:rPr>
        <w:b/>
        <w:bCs/>
        <w:color w:val="9DAA2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7FDEA" w:themeFill="accent4" w:themeFillTint="3F"/>
      </w:tcPr>
    </w:tblStylePr>
    <w:tblStylePr w:type="band1Horz">
      <w:tblPr/>
      <w:tcPr>
        <w:shd w:val="clear" w:color="auto" w:fill="B8FEEE"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7F9" w:themeFill="accent5" w:themeFillTint="19"/>
    </w:tcPr>
    <w:tblStylePr w:type="firstRow">
      <w:rPr>
        <w:b/>
        <w:bCs/>
        <w:color w:val="FFFFFF" w:themeColor="background1"/>
      </w:rPr>
      <w:tblPr/>
      <w:tcPr>
        <w:tcBorders>
          <w:bottom w:val="single" w:sz="12" w:space="0" w:color="FFFFFF" w:themeColor="background1"/>
        </w:tcBorders>
        <w:shd w:val="clear" w:color="auto" w:fill="076D8D" w:themeFill="accent6" w:themeFillShade="CC"/>
      </w:tcPr>
    </w:tblStylePr>
    <w:tblStylePr w:type="lastRow">
      <w:rPr>
        <w:b/>
        <w:bCs/>
        <w:color w:val="076D8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CF0" w:themeFill="accent5" w:themeFillTint="3F"/>
      </w:tcPr>
    </w:tblStylePr>
    <w:tblStylePr w:type="band1Horz">
      <w:tblPr/>
      <w:tcPr>
        <w:shd w:val="clear" w:color="auto" w:fill="DAF0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0F6FD" w:themeFill="accent6" w:themeFillTint="19"/>
    </w:tcPr>
    <w:tblStylePr w:type="firstRow">
      <w:rPr>
        <w:b/>
        <w:bCs/>
        <w:color w:val="FFFFFF" w:themeColor="background1"/>
      </w:rPr>
      <w:tblPr/>
      <w:tcPr>
        <w:tcBorders>
          <w:bottom w:val="single" w:sz="12" w:space="0" w:color="FFFFFF" w:themeColor="background1"/>
        </w:tcBorders>
        <w:shd w:val="clear" w:color="auto" w:fill="3595A2" w:themeFill="accent5" w:themeFillShade="CC"/>
      </w:tcPr>
    </w:tblStylePr>
    <w:tblStylePr w:type="lastRow">
      <w:rPr>
        <w:b/>
        <w:bCs/>
        <w:color w:val="3595A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E9FB" w:themeFill="accent6" w:themeFillTint="3F"/>
      </w:tcPr>
    </w:tblStylePr>
    <w:tblStylePr w:type="band1Horz">
      <w:tblPr/>
      <w:tcPr>
        <w:shd w:val="clear" w:color="auto" w:fill="C1EDF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FD3" w:themeFill="accent1" w:themeFillTint="33"/>
    </w:tcPr>
    <w:tblStylePr w:type="firstRow">
      <w:rPr>
        <w:b/>
        <w:bCs/>
      </w:rPr>
      <w:tblPr/>
      <w:tcPr>
        <w:shd w:val="clear" w:color="auto" w:fill="B7DFA8" w:themeFill="accent1" w:themeFillTint="66"/>
      </w:tcPr>
    </w:tblStylePr>
    <w:tblStylePr w:type="lastRow">
      <w:rPr>
        <w:b/>
        <w:bCs/>
        <w:color w:val="000000" w:themeColor="text1"/>
      </w:rPr>
      <w:tblPr/>
      <w:tcPr>
        <w:shd w:val="clear" w:color="auto" w:fill="B7DFA8" w:themeFill="accent1" w:themeFillTint="66"/>
      </w:tcPr>
    </w:tblStylePr>
    <w:tblStylePr w:type="firstCol">
      <w:rPr>
        <w:color w:val="FFFFFF" w:themeColor="background1"/>
      </w:rPr>
      <w:tblPr/>
      <w:tcPr>
        <w:shd w:val="clear" w:color="auto" w:fill="3E762A" w:themeFill="accent1" w:themeFillShade="BF"/>
      </w:tcPr>
    </w:tblStylePr>
    <w:tblStylePr w:type="lastCol">
      <w:rPr>
        <w:color w:val="FFFFFF" w:themeColor="background1"/>
      </w:rPr>
      <w:tblPr/>
      <w:tcPr>
        <w:shd w:val="clear" w:color="auto" w:fill="3E762A" w:themeFill="accent1" w:themeFillShade="BF"/>
      </w:tc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8F3D3" w:themeFill="accent2" w:themeFillTint="33"/>
    </w:tcPr>
    <w:tblStylePr w:type="firstRow">
      <w:rPr>
        <w:b/>
        <w:bCs/>
      </w:rPr>
      <w:tblPr/>
      <w:tcPr>
        <w:shd w:val="clear" w:color="auto" w:fill="D1E7A8" w:themeFill="accent2" w:themeFillTint="66"/>
      </w:tcPr>
    </w:tblStylePr>
    <w:tblStylePr w:type="lastRow">
      <w:rPr>
        <w:b/>
        <w:bCs/>
        <w:color w:val="000000" w:themeColor="text1"/>
      </w:rPr>
      <w:tblPr/>
      <w:tcPr>
        <w:shd w:val="clear" w:color="auto" w:fill="D1E7A8" w:themeFill="accent2" w:themeFillTint="66"/>
      </w:tcPr>
    </w:tblStylePr>
    <w:tblStylePr w:type="firstCol">
      <w:rPr>
        <w:color w:val="FFFFFF" w:themeColor="background1"/>
      </w:rPr>
      <w:tblPr/>
      <w:tcPr>
        <w:shd w:val="clear" w:color="auto" w:fill="668926" w:themeFill="accent2" w:themeFillShade="BF"/>
      </w:tcPr>
    </w:tblStylePr>
    <w:tblStylePr w:type="lastCol">
      <w:rPr>
        <w:color w:val="FFFFFF" w:themeColor="background1"/>
      </w:rPr>
      <w:tblPr/>
      <w:tcPr>
        <w:shd w:val="clear" w:color="auto" w:fill="668926" w:themeFill="accent2" w:themeFillShade="BF"/>
      </w:tc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5D7" w:themeFill="accent3" w:themeFillTint="33"/>
    </w:tcPr>
    <w:tblStylePr w:type="firstRow">
      <w:rPr>
        <w:b/>
        <w:bCs/>
      </w:rPr>
      <w:tblPr/>
      <w:tcPr>
        <w:shd w:val="clear" w:color="auto" w:fill="E5EBB0" w:themeFill="accent3" w:themeFillTint="66"/>
      </w:tcPr>
    </w:tblStylePr>
    <w:tblStylePr w:type="lastRow">
      <w:rPr>
        <w:b/>
        <w:bCs/>
        <w:color w:val="000000" w:themeColor="text1"/>
      </w:rPr>
      <w:tblPr/>
      <w:tcPr>
        <w:shd w:val="clear" w:color="auto" w:fill="E5EBB0" w:themeFill="accent3" w:themeFillTint="66"/>
      </w:tcPr>
    </w:tblStylePr>
    <w:tblStylePr w:type="firstCol">
      <w:rPr>
        <w:color w:val="FFFFFF" w:themeColor="background1"/>
      </w:rPr>
      <w:tblPr/>
      <w:tcPr>
        <w:shd w:val="clear" w:color="auto" w:fill="939F27" w:themeFill="accent3" w:themeFillShade="BF"/>
      </w:tcPr>
    </w:tblStylePr>
    <w:tblStylePr w:type="lastCol">
      <w:rPr>
        <w:color w:val="FFFFFF" w:themeColor="background1"/>
      </w:rPr>
      <w:tblPr/>
      <w:tcPr>
        <w:shd w:val="clear" w:color="auto" w:fill="939F27" w:themeFill="accent3" w:themeFillShade="BF"/>
      </w:tc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8FEEE" w:themeFill="accent4" w:themeFillTint="33"/>
    </w:tcPr>
    <w:tblStylePr w:type="firstRow">
      <w:rPr>
        <w:b/>
        <w:bCs/>
      </w:rPr>
      <w:tblPr/>
      <w:tcPr>
        <w:shd w:val="clear" w:color="auto" w:fill="71FDDE" w:themeFill="accent4" w:themeFillTint="66"/>
      </w:tcPr>
    </w:tblStylePr>
    <w:tblStylePr w:type="lastRow">
      <w:rPr>
        <w:b/>
        <w:bCs/>
        <w:color w:val="000000" w:themeColor="text1"/>
      </w:rPr>
      <w:tblPr/>
      <w:tcPr>
        <w:shd w:val="clear" w:color="auto" w:fill="71FDDE" w:themeFill="accent4" w:themeFillTint="66"/>
      </w:tcPr>
    </w:tblStylePr>
    <w:tblStylePr w:type="firstCol">
      <w:rPr>
        <w:color w:val="FFFFFF" w:themeColor="background1"/>
      </w:rPr>
      <w:tblPr/>
      <w:tcPr>
        <w:shd w:val="clear" w:color="auto" w:fill="017057" w:themeFill="accent4" w:themeFillShade="BF"/>
      </w:tcPr>
    </w:tblStylePr>
    <w:tblStylePr w:type="lastCol">
      <w:rPr>
        <w:color w:val="FFFFFF" w:themeColor="background1"/>
      </w:rPr>
      <w:tblPr/>
      <w:tcPr>
        <w:shd w:val="clear" w:color="auto" w:fill="017057" w:themeFill="accent4" w:themeFillShade="BF"/>
      </w:tc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F0F3" w:themeFill="accent5" w:themeFillTint="33"/>
    </w:tcPr>
    <w:tblStylePr w:type="firstRow">
      <w:rPr>
        <w:b/>
        <w:bCs/>
      </w:rPr>
      <w:tblPr/>
      <w:tcPr>
        <w:shd w:val="clear" w:color="auto" w:fill="B6E1E7" w:themeFill="accent5" w:themeFillTint="66"/>
      </w:tcPr>
    </w:tblStylePr>
    <w:tblStylePr w:type="lastRow">
      <w:rPr>
        <w:b/>
        <w:bCs/>
        <w:color w:val="000000" w:themeColor="text1"/>
      </w:rPr>
      <w:tblPr/>
      <w:tcPr>
        <w:shd w:val="clear" w:color="auto" w:fill="B6E1E7" w:themeFill="accent5" w:themeFillTint="66"/>
      </w:tcPr>
    </w:tblStylePr>
    <w:tblStylePr w:type="firstCol">
      <w:rPr>
        <w:color w:val="FFFFFF" w:themeColor="background1"/>
      </w:rPr>
      <w:tblPr/>
      <w:tcPr>
        <w:shd w:val="clear" w:color="auto" w:fill="318B98" w:themeFill="accent5" w:themeFillShade="BF"/>
      </w:tcPr>
    </w:tblStylePr>
    <w:tblStylePr w:type="lastCol">
      <w:rPr>
        <w:color w:val="FFFFFF" w:themeColor="background1"/>
      </w:rPr>
      <w:tblPr/>
      <w:tcPr>
        <w:shd w:val="clear" w:color="auto" w:fill="318B98" w:themeFill="accent5" w:themeFillShade="BF"/>
      </w:tc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DFC" w:themeFill="accent6" w:themeFillTint="33"/>
    </w:tcPr>
    <w:tblStylePr w:type="firstRow">
      <w:rPr>
        <w:b/>
        <w:bCs/>
      </w:rPr>
      <w:tblPr/>
      <w:tcPr>
        <w:shd w:val="clear" w:color="auto" w:fill="83DCF8" w:themeFill="accent6" w:themeFillTint="66"/>
      </w:tcPr>
    </w:tblStylePr>
    <w:tblStylePr w:type="lastRow">
      <w:rPr>
        <w:b/>
        <w:bCs/>
        <w:color w:val="000000" w:themeColor="text1"/>
      </w:rPr>
      <w:tblPr/>
      <w:tcPr>
        <w:shd w:val="clear" w:color="auto" w:fill="83DCF8" w:themeFill="accent6" w:themeFillTint="66"/>
      </w:tcPr>
    </w:tblStylePr>
    <w:tblStylePr w:type="firstCol">
      <w:rPr>
        <w:color w:val="FFFFFF" w:themeColor="background1"/>
      </w:rPr>
      <w:tblPr/>
      <w:tcPr>
        <w:shd w:val="clear" w:color="auto" w:fill="066684" w:themeFill="accent6" w:themeFillShade="BF"/>
      </w:tcPr>
    </w:tblStylePr>
    <w:tblStylePr w:type="lastCol">
      <w:rPr>
        <w:color w:val="FFFFFF" w:themeColor="background1"/>
      </w:rPr>
      <w:tblPr/>
      <w:tcPr>
        <w:shd w:val="clear" w:color="auto" w:fill="066684" w:themeFill="accent6" w:themeFillShade="BF"/>
      </w:tc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 w:type="paragraph" w:customStyle="1" w:styleId="GuideSubtitle">
    <w:name w:val="Guide Subtitle"/>
    <w:pPr>
      <w:spacing w:after="240"/>
    </w:pPr>
    <w:rPr>
      <w:rFonts w:ascii="Aptos" w:hAnsi="Aptos"/>
      <w:color w:val="666666"/>
      <w:sz w:val="24"/>
    </w:rPr>
  </w:style>
  <w:style w:type="paragraph" w:customStyle="1" w:styleId="LeadGuide">
    <w:name w:val="Lead Guide"/>
    <w:pPr>
      <w:spacing w:after="160" w:line="264" w:lineRule="auto"/>
    </w:pPr>
    <w:rPr>
      <w:rFonts w:ascii="Aptos" w:hAnsi="Aptos"/>
      <w:color w:val="222222"/>
      <w:sz w:val="23"/>
    </w:rPr>
  </w:style>
  <w:style w:type="paragraph" w:customStyle="1" w:styleId="SmallGuide">
    <w:name w:val="Small Guide"/>
    <w:rPr>
      <w:rFonts w:ascii="Aptos" w:hAnsi="Aptos"/>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a.gov/business-guide/launch-your-business/apply-licenses-permits" TargetMode="External"/><Relationship Id="rId13" Type="http://schemas.openxmlformats.org/officeDocument/2006/relationships/hyperlink" Target="https://www.ttb.gov/business-central/alcohol-beverage-authorities-in-united-states-canada-and-puerto-ri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da.gov/topics/title-ii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da.gov/food/fda-food-code/adoption-fda-food-code-state-and-territorial-agencies-responsible-oversight-restaurants-and-retai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fda.gov/food/fda-food-code/food-code-2022" TargetMode="External"/><Relationship Id="rId4" Type="http://schemas.openxmlformats.org/officeDocument/2006/relationships/settings" Target="settings.xml"/><Relationship Id="rId9" Type="http://schemas.openxmlformats.org/officeDocument/2006/relationships/hyperlink" Target="https://www.fda.gov/food/retail-food-protection/fda-food-cod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2638</Words>
  <Characters>15040</Characters>
  <Application>Microsoft Office Word</Application>
  <DocSecurity>0</DocSecurity>
  <Lines>125</Lines>
  <Paragraphs>35</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1. Define the Event Before Spending Money</vt:lpstr>
      <vt:lpstr>2. Build the Schedule Backward From Event Day</vt:lpstr>
      <vt:lpstr>3. Evaluate the Venue as an Operating Space</vt:lpstr>
      <vt:lpstr>4. Verify Requirements for the Actual State and Locality</vt:lpstr>
      <vt:lpstr>    Current National Food-Safety Reference Point</vt:lpstr>
      <vt:lpstr>5. Build the Budget Before Making Commitments</vt:lpstr>
      <vt:lpstr>6. Design the Menu or Product Mix for the Event</vt:lpstr>
      <vt:lpstr>7. Forecast Purchasing and Inventory</vt:lpstr>
      <vt:lpstr>8. Confirm Vendors and Rentals in Writing</vt:lpstr>
      <vt:lpstr>9. Staff the Work That Actually Has to Be Done</vt:lpstr>
      <vt:lpstr>10. Plan the Guest Flow</vt:lpstr>
      <vt:lpstr>11. Build Food Safety Into the Operation</vt:lpstr>
      <vt:lpstr>12. Market the Event Based on Real Capacity</vt:lpstr>
      <vt:lpstr>13. Prepare for Problems Before Event Day</vt:lpstr>
      <vt:lpstr>14. Control the Operation on Event Day</vt:lpstr>
      <vt:lpstr>15. Review the Event Using Actual Results</vt:lpstr>
      <vt:lpstr>Official U.S. Resources</vt:lpstr>
    </vt:vector>
  </TitlesOfParts>
  <Manager/>
  <Company/>
  <LinksUpToDate>false</LinksUpToDate>
  <CharactersWithSpaces>17643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Darrell Pender</cp:lastModifiedBy>
  <cp:revision>3</cp:revision>
  <dcterms:created xsi:type="dcterms:W3CDTF">2013-12-23T23:15:00Z</dcterms:created>
  <dcterms:modified xsi:type="dcterms:W3CDTF">2026-09-11T16:10:00Z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329c2862-d834-4b02-98fc-12a1c1c6ba16</vt:lpwstr>
  </property>
</Properties>
</file>