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70A13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240"/>
            </w:pPr>
            <w:r>
              <w:drawing>
                <wp:inline distT="0" distB="0" distL="0" distR="0">
                  <wp:extent cx="1619250" cy="371475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40"/>
                <w:sz w:val="18"/>
                <w:szCs w:val="18"/>
              </w:rPr>
              <w:t xml:space="preserve">MODELO DE REGISTO · AO-REG-03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Registo de credencial técnica</w:t>
            </w:r>
          </w:p>
          <w:p>
            <w:pPr>
              <w:spacing w:after="0" w:line="288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Regista a entrega, a guarda e a revogação de credenciais técnicas: chaves de API, contas de alojamento e acessos a consolas ou ao DNS.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6F5F3" w:sz="4"/>
              <w:left w:val="single" w:color="E6F5F3" w:sz="4"/>
              <w:bottom w:val="single" w:color="E6F5F3" w:sz="4"/>
              <w:right w:val="single" w:color="E6F5F3" w:sz="4"/>
            </w:tcBorders>
            <w:shd w:fill="E6F5F3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766C"/>
              </w:rPr>
              <w:t xml:space="preserve">Como preencher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Nunca escreva neste registo a palavra-passe, a chave ou o código.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Regista-se apenas onde a credencial fica guardada e quem a pode usar.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Peça sempre o acesso mínimo necessário para a finalidade.</w:t>
            </w:r>
          </w:p>
          <w:p>
            <w:pPr>
              <w:spacing w:after="40" w:line="276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 credencial sem finalidade em curso é revogada, e a revogação regista-se na secção 4.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Controlo do registo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N.º do registo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AO-REG-03-AAAA-NNN (ano e número sequencial)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Preenchido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Local de arquivo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Pasta, repositório ou ligação onde o registo assinado fica guardado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Prazo de conservação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Conforme a política de retenção da Neora e o contrato com o cliente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1. Credencial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Tipo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Chave de API     ☐ Conta de serviço     ☐ Acesso a consola     ☐ Certificado     ☐ Outro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Sistema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Por exemplo: Base44, fornecedor de alojamento, registador do domínio, GitHub</w:t>
            </w:r>
          </w:p>
        </w:tc>
      </w:tr>
      <w:tr>
        <w:trPr>
          <w:cantSplit/>
          <w:trHeight w:val="90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Finalidade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Para que é usada e em que fase do plano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Permissões concedidas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Âmbito exato (leitura, escrita, administração)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Titular da conta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Pessoa ou organização que detém a conta de origem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2. Entrega e guarda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Entregue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Recebida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e função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 da entrega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Onde fica guardada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Por exemplo: segredo do GitHub Actions, segredo da app, gestor de palavras-passe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Nome do segredo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Nome da variável ou da entrada; nunca o valor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Quem lhe pode aceder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3. Ciclo de vida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Validade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Data de expiração definida na origem, se existir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Rotação prevista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Periodicidade ou data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Próxima revisão da necessidade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DD/MM/AAAA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4. Revogação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Data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Motivo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 Fim da finalidade     ☐ Rotação     ☐ Suspeita de exposição     ☐ Saída da pessoa</w:t>
            </w: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Revogada por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</w:p>
        </w:tc>
      </w:tr>
      <w:tr>
        <w:trPr>
          <w:cantSplit/>
          <w:trHeight w:val="440" w:hRule="atLeast"/>
        </w:trPr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F3F5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70A13"/>
                <w:sz w:val="19"/>
                <w:szCs w:val="19"/>
              </w:rPr>
              <w:t xml:space="preserve">Confirmação</w:t>
            </w:r>
          </w:p>
        </w:tc>
        <w:tc>
          <w:tcPr>
            <w:tcW w:type="dxa" w:w="655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i/>
                <w:iCs/>
                <w:color w:val="9AA3B2"/>
                <w:sz w:val="17"/>
                <w:szCs w:val="17"/>
              </w:rPr>
              <w:t xml:space="preserve">Como se confirmou que deixou de funcionar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</w:rPr>
        <w:t xml:space="preserve">5. Assinaturas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entrega</w:t>
            </w:r>
          </w:p>
        </w:tc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recebe</w:t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Nome</w:t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Função</w:t>
            </w:r>
          </w:p>
        </w:tc>
      </w:tr>
      <w:tr>
        <w:trPr>
          <w:cantSplit/>
          <w:trHeight w:val="420" w:hRule="atLeast"/>
        </w:trPr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keepLines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Data</w:t>
            </w:r>
          </w:p>
        </w:tc>
      </w:tr>
      <w:tr>
        <w:trPr>
          <w:cantSplit/>
          <w:trHeight w:val="900" w:hRule="atLeast"/>
        </w:trPr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  <w:tc>
          <w:tcPr>
            <w:tcW w:type="dxa" w:w="481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/>
            </w:pPr>
            <w:r>
              <w:rPr>
                <w:rFonts w:ascii="Calibri" w:cs="Calibri" w:eastAsia="Calibri" w:hAnsi="Calibri"/>
                <w:color w:val="5B6474"/>
                <w:sz w:val="16"/>
                <w:szCs w:val="16"/>
              </w:rPr>
              <w:t xml:space="preserve">Assinatura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00" w:right="1134" w:bottom="1134" w:left="1134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7" w:sz="4" w:space="4"/>
      </w:pBdr>
      <w:tabs>
        <w:tab w:val="right" w:pos="9638"/>
      </w:tabs>
    </w:pPr>
    <w:r>
      <w:rPr>
        <w:rFonts w:ascii="Calibri" w:cs="Calibri" w:eastAsia="Calibri" w:hAnsi="Calibri"/>
        <w:color w:val="5B6474"/>
        <w:sz w:val="15"/>
        <w:szCs w:val="15"/>
      </w:rPr>
      <w:t xml:space="preserve">AnkoraOne · Neora Consulting · Modelo AO-REG-03, versão 1.0 (outubro de 2026)</w:t>
    </w:r>
    <w:r>
      <w:rPr>
        <w:rFonts w:ascii="Calibri" w:cs="Calibri" w:eastAsia="Calibri" w:hAnsi="Calibri"/>
        <w:color w:val="5B6474"/>
        <w:sz w:val="15"/>
        <w:szCs w:val="15"/>
      </w:rPr>
      <w:t xml:space="preserve">	Página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474"/>
        <w:sz w:val="15"/>
        <w:szCs w:val="15"/>
      </w:rPr>
      <w:t xml:space="preserve"> de </w:t>
    </w:r>
    <w:r>
      <w:rPr>
        <w:rFonts w:ascii="Calibri" w:cs="Calibri" w:eastAsia="Calibri" w:hAnsi="Calibri"/>
        <w:color w:val="5B6474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819"/>
      <w:gridCol w:w="4819"/>
    </w:tblGrid>
    <w:tr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r>
            <w:drawing>
              <wp:inline distT="0" distB="0" distL="0" distR="0">
                <wp:extent cx="1143000" cy="257175"/>
                <wp:effectExtent t="0" r="0" b="0" l="0"/>
                <wp:docPr id="8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57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one" w:color="FFFFFF" w:sz="0"/>
            <w:left w:val="none" w:color="FFFFFF" w:sz="0"/>
            <w:bottom w:val="single" w:color="CFA04A" w:sz="6"/>
            <w:right w:val="none" w:color="FFFFFF" w:sz="0"/>
          </w:tcBorders>
          <w:tcMar>
            <w:bottom w:type="dxa" w:w="80"/>
          </w:tcMar>
          <w:vAlign w:val="bottom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070A13"/>
              <w:sz w:val="16"/>
              <w:szCs w:val="16"/>
            </w:rPr>
            <w:t xml:space="preserve">AO-REG-03 · Registo de credencial técnica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B6474"/>
              <w:sz w:val="15"/>
              <w:szCs w:val="15"/>
            </w:rPr>
            <w:t xml:space="preserve">Uso interno e do cliente · Confidencial</w:t>
          </w:r>
        </w:p>
      </w:tc>
    </w:tr>
  </w:tbl>
  <w:p>
    <w:r>
      <w:drawing>
        <wp:anchor distT="0" distB="0" distL="0" distR="0" simplePos="0" allowOverlap="1" behindDoc="1" locked="0" layoutInCell="1" relativeHeight="347662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00500" cy="3476625"/>
          <wp:effectExtent t="0" r="0" b="0" l="0"/>
          <wp:wrapNone/>
          <wp:docPr id="7" name="Marca de água AnkoraOne" descr="Símbolo A1 da AnkoraOne" title="Marca de águ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0" cy="3476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8A66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d528c126367564cf13ce7d6ea2e9b48b0c5487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50425be630c5bbcbb3c21cb86b4293da4b2400.png"/><Relationship Id="rId1" Type="http://schemas.openxmlformats.org/officeDocument/2006/relationships/image" Target="media/5e5daf57cfd3e674eb80ef2ff57aad819ec1cab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AO-REG-03 · Registo de credencial técnica</dc:title>
  <dc:creator>AnkoraOne</dc:creator>
  <dc:description>Regista a entrega, a guarda e a revogação de credenciais técnicas: chaves de API, contas de alojamento e acessos a consolas ou ao DNS.</dc:description>
  <cp:lastModifiedBy>Un-named</cp:lastModifiedBy>
  <cp:revision>1</cp:revision>
  <dcterms:created xsi:type="dcterms:W3CDTF">2026-10-30T08:26:49.993Z</dcterms:created>
  <dcterms:modified xsi:type="dcterms:W3CDTF">2026-10-30T08:26:49.993Z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