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12600" w:hRule="atLeast"/>
        </w:trPr>
        <w:tc>
          <w:tcPr>
            <w:tcW w:type="dxa" w:w="9638"/>
            <w:tcBorders>
              <w:top w:val="none" w:color="070A13" w:sz="0"/>
              <w:left w:val="none" w:color="070A13" w:sz="0"/>
              <w:bottom w:val="none" w:color="070A13" w:sz="0"/>
              <w:right w:val="none" w:color="070A13" w:sz="0"/>
            </w:tcBorders>
            <w:shd w:fill="070A13" w:color="auto" w:val="clear"/>
            <w:tcMar>
              <w:top w:type="dxa" w:w="500"/>
              <w:left w:type="dxa" w:w="500"/>
              <w:bottom w:type="dxa" w:w="500"/>
              <w:right w:type="dxa" w:w="500"/>
            </w:tcMar>
            <w:vAlign w:val="center"/>
          </w:tcPr>
          <w:p>
            <w:pPr>
              <w:spacing w:after="1400"/>
            </w:pPr>
            <w:r>
              <w:drawing>
                <wp:inline distT="0" distB="0" distL="0" distR="0">
                  <wp:extent cx="2857500" cy="647700"/>
                  <wp:effectExtent t="0" r="0" b="0" l="0"/>
                  <wp:docPr id="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/>
            </w:pPr>
            <w:r>
              <w:rPr>
                <w:rFonts w:ascii="Calibri" w:cs="Calibri" w:eastAsia="Calibri" w:hAnsi="Calibri"/>
                <w:b/>
                <w:bCs/>
                <w:color w:val="CFA04A"/>
                <w:spacing w:val="60"/>
                <w:sz w:val="22"/>
                <w:szCs w:val="22"/>
              </w:rPr>
              <w:t xml:space="preserve">MODELOS E RELATÓRIOS</w:t>
            </w:r>
          </w:p>
          <w:p>
            <w:pPr>
              <w:spacing w:after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56"/>
                <w:szCs w:val="56"/>
              </w:rPr>
              <w:t xml:space="preserve">ISO/IEC 27001:2022</w:t>
            </w:r>
          </w:p>
          <w:p>
            <w:pPr>
              <w:spacing w:after="1200" w:line="300"/>
            </w:pPr>
            <w:r>
              <w:rPr>
                <w:rFonts w:ascii="Calibri" w:cs="Calibri" w:eastAsia="Calibri" w:hAnsi="Calibri"/>
                <w:color w:val="C9CFDA"/>
                <w:sz w:val="24"/>
                <w:szCs w:val="24"/>
              </w:rPr>
              <w:t xml:space="preserve">Política de segurança da informação, plano de tratamento de riscos, relatório de auditoria interna, ata de revisão pela gestão, não conformidades e informação documentada obrigatória.</w:t>
            </w:r>
          </w:p>
          <w:p>
            <w:pPr>
              <w:spacing w:after="360" w:line="300"/>
            </w:pPr>
            <w:r>
              <w:rPr>
                <w:rFonts w:ascii="Calibri" w:cs="Calibri" w:eastAsia="Calibri" w:hAnsi="Calibri"/>
                <w:b/>
                <w:bCs/>
                <w:color w:val="CFA04A"/>
                <w:sz w:val="22"/>
                <w:szCs w:val="22"/>
              </w:rPr>
              <w:t xml:space="preserve">AnkoraOne: </w:t>
            </w:r>
            <w:r>
              <w:rPr>
                <w:rFonts w:ascii="Calibri" w:cs="Calibri" w:eastAsia="Calibri" w:hAnsi="Calibri"/>
                <w:color w:val="FFFFFF"/>
                <w:sz w:val="22"/>
                <w:szCs w:val="22"/>
              </w:rPr>
              <w:t xml:space="preserve">a infraestrutura inteligente de governação, risco e conformidade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C9CFDA"/>
                <w:sz w:val="20"/>
                <w:szCs w:val="20"/>
              </w:rPr>
              <w:t xml:space="preserve">Versão 1.0 · outubro de 2026</w:t>
            </w:r>
          </w:p>
          <w:p>
            <w:r>
              <w:rPr>
                <w:rFonts w:ascii="Calibri" w:cs="Calibri" w:eastAsia="Calibri" w:hAnsi="Calibri"/>
                <w:b/>
                <w:bCs/>
                <w:color w:val="CFA04A"/>
                <w:sz w:val="20"/>
                <w:szCs w:val="20"/>
              </w:rPr>
              <w:t xml:space="preserve">app.ankoraone.com</w:t>
            </w:r>
          </w:p>
        </w:tc>
      </w:tr>
    </w:tbl>
    <w:p>
      <w:pPr>
        <w:sectPr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Índice</w:t>
      </w:r>
    </w:p>
    <w:sdt>
      <w:sdtPr>
        <w:alias w:val="Índic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20" w:line="288"/>
      </w:pPr>
      <w:r>
        <w:rPr>
          <w:rFonts w:ascii="Calibri" w:cs="Calibri" w:eastAsia="Calibri" w:hAnsi="Calibri"/>
          <w:i/>
          <w:iCs/>
          <w:color w:val="5B6474"/>
          <w:sz w:val="18"/>
          <w:szCs w:val="18"/>
        </w:rPr>
        <w:t xml:space="preserve">Se o índice aparecer vazio, atualize os campos no Word (botão direito → Atualizar campo).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Como usar estes modelos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Modelos de trabalho para um sistema de gestão da segurança da informação segundo a ISO/IEC 27001:2022. Os registos tabulares (Declaração de Aplicabilidade, riscos, informação documentada) estão no livro Excel deste referencial.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4F1EA" w:sz="4"/>
              <w:left w:val="single" w:color="F4F1EA" w:sz="4"/>
              <w:bottom w:val="single" w:color="F4F1EA" w:sz="4"/>
              <w:right w:val="single" w:color="F4F1EA" w:sz="4"/>
            </w:tcBorders>
            <w:shd w:fill="F4F1EA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8A6620"/>
              </w:rPr>
              <w:t xml:space="preserve">Direitos de autor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</w:rPr>
              <w:t xml:space="preserve">Os modelos seguem a numeração da ISO/IEC 27001:2022, com redação da AnkoraOne. A norma não é reproduzida: para certificação use o texto oficial, adquirido pela entidade.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6F5F3" w:sz="4"/>
              <w:left w:val="single" w:color="E6F5F3" w:sz="4"/>
              <w:bottom w:val="single" w:color="E6F5F3" w:sz="4"/>
              <w:right w:val="single" w:color="E6F5F3" w:sz="4"/>
            </w:tcBorders>
            <w:shd w:fill="E6F5F3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7766C"/>
              </w:rPr>
              <w:t xml:space="preserve">Ligação ao RJC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</w:rPr>
              <w:t xml:space="preserve">A AnkoraOne liga cada cláusula e controlo aos controlos do QNRCS (Reg. 756/2026, Anexo I). A Declaração de Aplicabilidade em Excel tem essa coluna, para reaproveitar evidências nos dois referenciais.</w:t>
            </w:r>
          </w:p>
        </w:tc>
      </w:tr>
    </w:tbl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I1 · Política (cláusula 5.2)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Elemento</w:t>
            </w:r>
          </w:p>
        </w:tc>
        <w:tc>
          <w:tcPr>
            <w:tcW w:type="dxa" w:w="674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Indicação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Referência</w:t>
            </w:r>
          </w:p>
        </w:tc>
        <w:tc>
          <w:tcPr>
            <w:tcW w:type="dxa" w:w="674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ISO/IEC 27001:2022, 5.2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O que a norma pede (síntese AnkoraOne)</w:t>
            </w:r>
          </w:p>
        </w:tc>
        <w:tc>
          <w:tcPr>
            <w:tcW w:type="dxa" w:w="674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Ter uma política adequada ao propósito da organização, com objetivos ou o quadro para os definir, comunicada e disponível.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Informação documentada</w:t>
            </w:r>
          </w:p>
        </w:tc>
        <w:tc>
          <w:tcPr>
            <w:tcW w:type="dxa" w:w="674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Sim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70"/>
        <w:gridCol w:w="6168"/>
      </w:tblGrid>
      <w:tr>
        <w:trPr>
          <w:tblHeader/>
        </w:trPr>
        <w:tc>
          <w:tcPr>
            <w:tcW w:type="dxa" w:w="347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Secção</w:t>
            </w:r>
          </w:p>
        </w:tc>
        <w:tc>
          <w:tcPr>
            <w:tcW w:type="dxa" w:w="616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Texto da entidade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Objetivo e âmbito</w:t>
            </w:r>
          </w:p>
        </w:tc>
        <w:tc>
          <w:tcPr>
            <w:tcW w:type="dxa" w:w="616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347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Objetivos de segurança da informação ou enquadramento para os definir (6.2)</w:t>
            </w:r>
          </w:p>
        </w:tc>
        <w:tc>
          <w:tcPr>
            <w:tcW w:type="dxa" w:w="616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347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Compromisso de cumprir os requisitos aplicáveis</w:t>
            </w:r>
          </w:p>
        </w:tc>
        <w:tc>
          <w:tcPr>
            <w:tcW w:type="dxa" w:w="616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347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Compromisso de melhoria contínua do sistema de gestão</w:t>
            </w:r>
          </w:p>
        </w:tc>
        <w:tc>
          <w:tcPr>
            <w:tcW w:type="dxa" w:w="616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347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Papéis e responsabilidades (5.3)</w:t>
            </w:r>
          </w:p>
        </w:tc>
        <w:tc>
          <w:tcPr>
            <w:tcW w:type="dxa" w:w="616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347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Políticas específicas por tema (Anexo A, 5.1)</w:t>
            </w:r>
          </w:p>
        </w:tc>
        <w:tc>
          <w:tcPr>
            <w:tcW w:type="dxa" w:w="616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347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Comunicação, disponibilidade e revisão</w:t>
            </w:r>
          </w:p>
        </w:tc>
        <w:tc>
          <w:tcPr>
            <w:tcW w:type="dxa" w:w="616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3662"/>
        <w:gridCol w:w="1542"/>
        <w:gridCol w:w="2314"/>
      </w:tblGrid>
      <w:tr>
        <w:trPr>
          <w:tblHeader/>
        </w:trPr>
        <w:tc>
          <w:tcPr>
            <w:tcW w:type="dxa" w:w="21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Função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Nome e cargo</w:t>
            </w:r>
          </w:p>
        </w:tc>
        <w:tc>
          <w:tcPr>
            <w:tcW w:type="dxa" w:w="154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</w:t>
            </w:r>
          </w:p>
        </w:tc>
        <w:tc>
          <w:tcPr>
            <w:tcW w:type="dxa" w:w="231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Assinatura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Elaborado por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54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231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1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Aprovado pela gestão de topo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54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231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</w:tbl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I2 · Plano de tratamento de riscos (cláusulas 6.1.3 e 8.3)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Elemento</w:t>
            </w:r>
          </w:p>
        </w:tc>
        <w:tc>
          <w:tcPr>
            <w:tcW w:type="dxa" w:w="674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Indicação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Referência</w:t>
            </w:r>
          </w:p>
        </w:tc>
        <w:tc>
          <w:tcPr>
            <w:tcW w:type="dxa" w:w="674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ISO/IEC 27001:2022, 6.1.3; ISO/IEC 27001:2022, 8.3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Síntese</w:t>
            </w:r>
          </w:p>
        </w:tc>
        <w:tc>
          <w:tcPr>
            <w:tcW w:type="dxa" w:w="674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Escolher as opções de tratamento, comparar os controlos com o Anexo A e justificar inclusões e exclusões na Declaração de Aplicabilidade.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349"/>
        <w:gridCol w:w="2313"/>
        <w:gridCol w:w="1349"/>
        <w:gridCol w:w="964"/>
        <w:gridCol w:w="1735"/>
      </w:tblGrid>
      <w:tr>
        <w:trPr>
          <w:tblHeader/>
        </w:trPr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Risco</w:t>
            </w:r>
          </w:p>
        </w:tc>
        <w:tc>
          <w:tcPr>
            <w:tcW w:type="dxa" w:w="1349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Opção de tratamento</w:t>
            </w:r>
          </w:p>
        </w:tc>
        <w:tc>
          <w:tcPr>
            <w:tcW w:type="dxa" w:w="231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Controlos (Anexo A ou próprios)</w:t>
            </w:r>
          </w:p>
        </w:tc>
        <w:tc>
          <w:tcPr>
            <w:tcW w:type="dxa" w:w="1349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Responsável</w:t>
            </w:r>
          </w:p>
        </w:tc>
        <w:tc>
          <w:tcPr>
            <w:tcW w:type="dxa" w:w="96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Prazo</w:t>
            </w:r>
          </w:p>
        </w:tc>
        <w:tc>
          <w:tcPr>
            <w:tcW w:type="dxa" w:w="173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Risco residual aceite por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349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231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349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96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73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349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231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349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96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73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349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231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349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96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73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349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231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349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96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73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</w:tbl>
    <w:p>
      <w:pPr>
        <w:spacing w:after="120" w:line="288"/>
      </w:pPr>
      <w:r>
        <w:rPr>
          <w:rFonts w:ascii="Calibri" w:cs="Calibri" w:eastAsia="Calibri" w:hAnsi="Calibri"/>
          <w:i/>
          <w:iCs/>
          <w:color w:val="5B6474"/>
          <w:sz w:val="18"/>
          <w:szCs w:val="18"/>
        </w:rPr>
        <w:t xml:space="preserve">A Declaração de Aplicabilidade está no livro Excel deste referencial (folha «Declaração de Aplicabilidade»).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3662"/>
        <w:gridCol w:w="1542"/>
        <w:gridCol w:w="2314"/>
      </w:tblGrid>
      <w:tr>
        <w:trPr>
          <w:tblHeader/>
        </w:trPr>
        <w:tc>
          <w:tcPr>
            <w:tcW w:type="dxa" w:w="21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Função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Nome e cargo</w:t>
            </w:r>
          </w:p>
        </w:tc>
        <w:tc>
          <w:tcPr>
            <w:tcW w:type="dxa" w:w="154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</w:t>
            </w:r>
          </w:p>
        </w:tc>
        <w:tc>
          <w:tcPr>
            <w:tcW w:type="dxa" w:w="231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Assinatura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Responsável pelo risco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54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231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1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Aprovado por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54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231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</w:tbl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I3 · Relatório de auditoria interna (cláusula 9.2)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Elemento</w:t>
            </w:r>
          </w:p>
        </w:tc>
        <w:tc>
          <w:tcPr>
            <w:tcW w:type="dxa" w:w="674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Indicação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Referência</w:t>
            </w:r>
          </w:p>
        </w:tc>
        <w:tc>
          <w:tcPr>
            <w:tcW w:type="dxa" w:w="674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ISO/IEC 27001:2022, 9.2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Síntese</w:t>
            </w:r>
          </w:p>
        </w:tc>
        <w:tc>
          <w:tcPr>
            <w:tcW w:type="dxa" w:w="674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Realizar auditorias internas planeadas, com critérios, âmbito e auditores imparciais.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2120"/>
        <w:gridCol w:w="3663"/>
      </w:tblGrid>
      <w:tr>
        <w:trPr>
          <w:tblHeader/>
        </w:trPr>
        <w:tc>
          <w:tcPr>
            <w:tcW w:type="dxa" w:w="385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21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Referência</w:t>
            </w:r>
          </w:p>
        </w:tc>
        <w:tc>
          <w:tcPr>
            <w:tcW w:type="dxa" w:w="366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Preenchimento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Programa e ciclo de auditoria</w:t>
            </w:r>
          </w:p>
        </w:tc>
        <w:tc>
          <w:tcPr>
            <w:tcW w:type="dxa" w:w="21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ISO/IEC 27001:2022, 9.2</w:t>
            </w:r>
          </w:p>
        </w:tc>
        <w:tc>
          <w:tcPr>
            <w:tcW w:type="dxa" w:w="366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385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Âmbito e critérios</w:t>
            </w:r>
          </w:p>
        </w:tc>
        <w:tc>
          <w:tcPr>
            <w:tcW w:type="dxa" w:w="21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ISO/IEC 27001:2022, 9.2</w:t>
            </w:r>
          </w:p>
        </w:tc>
        <w:tc>
          <w:tcPr>
            <w:tcW w:type="dxa" w:w="366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385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Datas e locais</w:t>
            </w:r>
          </w:p>
        </w:tc>
        <w:tc>
          <w:tcPr>
            <w:tcW w:type="dxa" w:w="21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366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385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Auditores e declaração de imparcialidade</w:t>
            </w:r>
          </w:p>
        </w:tc>
        <w:tc>
          <w:tcPr>
            <w:tcW w:type="dxa" w:w="21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ISO/IEC 27001:2022, 9.2</w:t>
            </w:r>
          </w:p>
        </w:tc>
        <w:tc>
          <w:tcPr>
            <w:tcW w:type="dxa" w:w="366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385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Áreas e processos auditados</w:t>
            </w:r>
          </w:p>
        </w:tc>
        <w:tc>
          <w:tcPr>
            <w:tcW w:type="dxa" w:w="21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366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385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Documentos e registos consultados</w:t>
            </w:r>
          </w:p>
        </w:tc>
        <w:tc>
          <w:tcPr>
            <w:tcW w:type="dxa" w:w="21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366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Constatações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"/>
        <w:gridCol w:w="1735"/>
        <w:gridCol w:w="1542"/>
        <w:gridCol w:w="3277"/>
        <w:gridCol w:w="2506"/>
      </w:tblGrid>
      <w:tr>
        <w:trPr>
          <w:tblHeader/>
        </w:trPr>
        <w:tc>
          <w:tcPr>
            <w:tcW w:type="dxa" w:w="57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N.º</w:t>
            </w:r>
          </w:p>
        </w:tc>
        <w:tc>
          <w:tcPr>
            <w:tcW w:type="dxa" w:w="173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Cláusula ou controlo</w:t>
            </w:r>
          </w:p>
        </w:tc>
        <w:tc>
          <w:tcPr>
            <w:tcW w:type="dxa" w:w="154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327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25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Evidência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173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54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327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25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57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173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54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327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25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57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173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54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327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25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</w:tbl>
    <w:p>
      <w:pPr>
        <w:spacing w:after="120" w:line="288"/>
      </w:pPr>
      <w:r>
        <w:rPr>
          <w:rFonts w:ascii="Calibri" w:cs="Calibri" w:eastAsia="Calibri" w:hAnsi="Calibri"/>
          <w:i/>
          <w:iCs/>
          <w:color w:val="5B6474"/>
          <w:sz w:val="18"/>
          <w:szCs w:val="18"/>
        </w:rPr>
        <w:t xml:space="preserve">Tipo: não conformidade maior, não conformidade menor, observação ou oportunidade de melhoria. As não conformidades seguem para o registo de ações corretivas (cláusula 10.2).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Conclusão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blHeader/>
        </w:trPr>
        <w:tc>
          <w:tcPr>
            <w:tcW w:type="dxa" w:w="963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Conclusão sobre a conformidade e a eficácia do sistema de gestão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3662"/>
        <w:gridCol w:w="1542"/>
        <w:gridCol w:w="2314"/>
      </w:tblGrid>
      <w:tr>
        <w:trPr>
          <w:tblHeader/>
        </w:trPr>
        <w:tc>
          <w:tcPr>
            <w:tcW w:type="dxa" w:w="21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Função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Nome e cargo</w:t>
            </w:r>
          </w:p>
        </w:tc>
        <w:tc>
          <w:tcPr>
            <w:tcW w:type="dxa" w:w="154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</w:t>
            </w:r>
          </w:p>
        </w:tc>
        <w:tc>
          <w:tcPr>
            <w:tcW w:type="dxa" w:w="231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Assinatura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Auditor responsável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54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231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1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Responsável da área auditada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54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231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1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Relatório comunicado à gestão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54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231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</w:tbl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I4 · Ata de revisão pela gestão (cláusula 9.3)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Elemento</w:t>
            </w:r>
          </w:p>
        </w:tc>
        <w:tc>
          <w:tcPr>
            <w:tcW w:type="dxa" w:w="674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Indicação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Referência</w:t>
            </w:r>
          </w:p>
        </w:tc>
        <w:tc>
          <w:tcPr>
            <w:tcW w:type="dxa" w:w="674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ISO/IEC 27001:2022, 9.3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Síntese</w:t>
            </w:r>
          </w:p>
        </w:tc>
        <w:tc>
          <w:tcPr>
            <w:tcW w:type="dxa" w:w="674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 gestão de topo revê o sistema em intervalos planeados, com as entradas definidas pela norma.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Entradas analisadas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70"/>
        <w:gridCol w:w="4241"/>
        <w:gridCol w:w="1927"/>
      </w:tblGrid>
      <w:tr>
        <w:trPr>
          <w:tblHeader/>
        </w:trPr>
        <w:tc>
          <w:tcPr>
            <w:tcW w:type="dxa" w:w="347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Entrada</w:t>
            </w:r>
          </w:p>
        </w:tc>
        <w:tc>
          <w:tcPr>
            <w:tcW w:type="dxa" w:w="424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Síntese apresentada</w:t>
            </w:r>
          </w:p>
        </w:tc>
        <w:tc>
          <w:tcPr>
            <w:tcW w:type="dxa" w:w="192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Documento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Estado das ações de revisões anteriores</w:t>
            </w:r>
          </w:p>
        </w:tc>
        <w:tc>
          <w:tcPr>
            <w:tcW w:type="dxa" w:w="424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92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347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Alterações nas questões internas e externas</w:t>
            </w:r>
          </w:p>
        </w:tc>
        <w:tc>
          <w:tcPr>
            <w:tcW w:type="dxa" w:w="424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92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347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Alterações nas necessidades e expectativas das partes interessadas</w:t>
            </w:r>
          </w:p>
        </w:tc>
        <w:tc>
          <w:tcPr>
            <w:tcW w:type="dxa" w:w="424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92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347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Não conformidades e ações corretivas</w:t>
            </w:r>
          </w:p>
        </w:tc>
        <w:tc>
          <w:tcPr>
            <w:tcW w:type="dxa" w:w="424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92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347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Resultados da monitorização e medição</w:t>
            </w:r>
          </w:p>
        </w:tc>
        <w:tc>
          <w:tcPr>
            <w:tcW w:type="dxa" w:w="424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92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347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Resultados das auditorias</w:t>
            </w:r>
          </w:p>
        </w:tc>
        <w:tc>
          <w:tcPr>
            <w:tcW w:type="dxa" w:w="424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92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347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Cumprimento dos objetivos</w:t>
            </w:r>
          </w:p>
        </w:tc>
        <w:tc>
          <w:tcPr>
            <w:tcW w:type="dxa" w:w="424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92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347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Feedback das partes interessadas</w:t>
            </w:r>
          </w:p>
        </w:tc>
        <w:tc>
          <w:tcPr>
            <w:tcW w:type="dxa" w:w="424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92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347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Resultados da avaliação de riscos e estado do plano de tratamento</w:t>
            </w:r>
          </w:p>
        </w:tc>
        <w:tc>
          <w:tcPr>
            <w:tcW w:type="dxa" w:w="424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92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347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Oportunidades de melhoria</w:t>
            </w:r>
          </w:p>
        </w:tc>
        <w:tc>
          <w:tcPr>
            <w:tcW w:type="dxa" w:w="424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92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Decisões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3"/>
        <w:gridCol w:w="2120"/>
        <w:gridCol w:w="1735"/>
      </w:tblGrid>
      <w:tr>
        <w:trPr>
          <w:tblHeader/>
        </w:trPr>
        <w:tc>
          <w:tcPr>
            <w:tcW w:type="dxa" w:w="578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Decisão (melhoria, alterações ao sistema, recursos)</w:t>
            </w:r>
          </w:p>
        </w:tc>
        <w:tc>
          <w:tcPr>
            <w:tcW w:type="dxa" w:w="21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Responsável</w:t>
            </w:r>
          </w:p>
        </w:tc>
        <w:tc>
          <w:tcPr>
            <w:tcW w:type="dxa" w:w="173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Prazo</w:t>
            </w:r>
          </w:p>
        </w:tc>
      </w:tr>
      <w:tr>
        <w:trPr>
          <w:cantSplit/>
        </w:trPr>
        <w:tc>
          <w:tcPr>
            <w:tcW w:type="dxa" w:w="578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21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73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578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21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73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578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21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73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3662"/>
        <w:gridCol w:w="1542"/>
        <w:gridCol w:w="2314"/>
      </w:tblGrid>
      <w:tr>
        <w:trPr>
          <w:tblHeader/>
        </w:trPr>
        <w:tc>
          <w:tcPr>
            <w:tcW w:type="dxa" w:w="21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Função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Nome e cargo</w:t>
            </w:r>
          </w:p>
        </w:tc>
        <w:tc>
          <w:tcPr>
            <w:tcW w:type="dxa" w:w="154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</w:t>
            </w:r>
          </w:p>
        </w:tc>
        <w:tc>
          <w:tcPr>
            <w:tcW w:type="dxa" w:w="231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Assinatura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Gestão de topo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54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231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1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Responsável do sistema de gestão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54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231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</w:tbl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I5 · Não conformidade e ação corretiva (cláusula 10.2)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Elemento</w:t>
            </w:r>
          </w:p>
        </w:tc>
        <w:tc>
          <w:tcPr>
            <w:tcW w:type="dxa" w:w="674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Indicação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Referência</w:t>
            </w:r>
          </w:p>
        </w:tc>
        <w:tc>
          <w:tcPr>
            <w:tcW w:type="dxa" w:w="674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ISO/IEC 27001:2022, 10.2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Síntese</w:t>
            </w:r>
          </w:p>
        </w:tc>
        <w:tc>
          <w:tcPr>
            <w:tcW w:type="dxa" w:w="674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Tratar as não conformidades, analisar as causas e verificar a eficácia das ações corretivas.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2120"/>
        <w:gridCol w:w="3663"/>
      </w:tblGrid>
      <w:tr>
        <w:trPr>
          <w:tblHeader/>
        </w:trPr>
        <w:tc>
          <w:tcPr>
            <w:tcW w:type="dxa" w:w="385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21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Referência</w:t>
            </w:r>
          </w:p>
        </w:tc>
        <w:tc>
          <w:tcPr>
            <w:tcW w:type="dxa" w:w="366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Preenchimento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N.º e origem (auditoria, incidente, reclamação, revisão)</w:t>
            </w:r>
          </w:p>
        </w:tc>
        <w:tc>
          <w:tcPr>
            <w:tcW w:type="dxa" w:w="21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366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385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Descrição da não conformidade</w:t>
            </w:r>
          </w:p>
        </w:tc>
        <w:tc>
          <w:tcPr>
            <w:tcW w:type="dxa" w:w="21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ISO/IEC 27001:2022, 10.2</w:t>
            </w:r>
          </w:p>
        </w:tc>
        <w:tc>
          <w:tcPr>
            <w:tcW w:type="dxa" w:w="366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385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Correção imediata e consequências tratadas</w:t>
            </w:r>
          </w:p>
        </w:tc>
        <w:tc>
          <w:tcPr>
            <w:tcW w:type="dxa" w:w="21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ISO/IEC 27001:2022, 10.2</w:t>
            </w:r>
          </w:p>
        </w:tc>
        <w:tc>
          <w:tcPr>
            <w:tcW w:type="dxa" w:w="366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385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Análise de causas</w:t>
            </w:r>
          </w:p>
        </w:tc>
        <w:tc>
          <w:tcPr>
            <w:tcW w:type="dxa" w:w="21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ISO/IEC 27001:2022, 10.2</w:t>
            </w:r>
          </w:p>
        </w:tc>
        <w:tc>
          <w:tcPr>
            <w:tcW w:type="dxa" w:w="366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385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Existem não conformidades semelhantes?</w:t>
            </w:r>
          </w:p>
        </w:tc>
        <w:tc>
          <w:tcPr>
            <w:tcW w:type="dxa" w:w="21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ISO/IEC 27001:2022, 10.2</w:t>
            </w:r>
          </w:p>
        </w:tc>
        <w:tc>
          <w:tcPr>
            <w:tcW w:type="dxa" w:w="366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385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Ação corretiva, responsável e prazo</w:t>
            </w:r>
          </w:p>
        </w:tc>
        <w:tc>
          <w:tcPr>
            <w:tcW w:type="dxa" w:w="21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ISO/IEC 27001:2022, 10.2</w:t>
            </w:r>
          </w:p>
        </w:tc>
        <w:tc>
          <w:tcPr>
            <w:tcW w:type="dxa" w:w="366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385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Verificação da eficácia (data e resultado)</w:t>
            </w:r>
          </w:p>
        </w:tc>
        <w:tc>
          <w:tcPr>
            <w:tcW w:type="dxa" w:w="21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ISO/IEC 27001:2022, 10.2</w:t>
            </w:r>
          </w:p>
        </w:tc>
        <w:tc>
          <w:tcPr>
            <w:tcW w:type="dxa" w:w="366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385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Alterações ao sistema de gestão necessárias</w:t>
            </w:r>
          </w:p>
        </w:tc>
        <w:tc>
          <w:tcPr>
            <w:tcW w:type="dxa" w:w="21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ISO/IEC 27001:2022, 10.2</w:t>
            </w:r>
          </w:p>
        </w:tc>
        <w:tc>
          <w:tcPr>
            <w:tcW w:type="dxa" w:w="366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3662"/>
        <w:gridCol w:w="1542"/>
        <w:gridCol w:w="2314"/>
      </w:tblGrid>
      <w:tr>
        <w:trPr>
          <w:tblHeader/>
        </w:trPr>
        <w:tc>
          <w:tcPr>
            <w:tcW w:type="dxa" w:w="21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Função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Nome e cargo</w:t>
            </w:r>
          </w:p>
        </w:tc>
        <w:tc>
          <w:tcPr>
            <w:tcW w:type="dxa" w:w="154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</w:t>
            </w:r>
          </w:p>
        </w:tc>
        <w:tc>
          <w:tcPr>
            <w:tcW w:type="dxa" w:w="231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Assinatura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Responsável pela ação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54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231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1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Verificado por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54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231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</w:tbl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I6 · Lista de informação documentada obrigatória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Cláusulas da ISO/IEC 27001:2022 que exigem informação documentada, segundo o guia da AnkoraOne. Indique o documento da entidade e o local onde está guardado.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"/>
        <w:gridCol w:w="3855"/>
        <w:gridCol w:w="2891"/>
        <w:gridCol w:w="1928"/>
      </w:tblGrid>
      <w:tr>
        <w:trPr>
          <w:tblHeader/>
        </w:trPr>
        <w:tc>
          <w:tcPr>
            <w:tcW w:type="dxa" w:w="96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Cláusula</w:t>
            </w:r>
          </w:p>
        </w:tc>
        <w:tc>
          <w:tcPr>
            <w:tcW w:type="dxa" w:w="385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Tema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Documento da entidade</w:t>
            </w: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Local / versão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4.3</w:t>
            </w:r>
          </w:p>
        </w:tc>
        <w:tc>
          <w:tcPr>
            <w:tcW w:type="dxa" w:w="385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Âmbito do sistema de gestão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96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5.2</w:t>
            </w:r>
          </w:p>
        </w:tc>
        <w:tc>
          <w:tcPr>
            <w:tcW w:type="dxa" w:w="385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Política de segurança da informação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96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6.1.2</w:t>
            </w:r>
          </w:p>
        </w:tc>
        <w:tc>
          <w:tcPr>
            <w:tcW w:type="dxa" w:w="385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Avaliação de riscos de segurança da informação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96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6.1.3</w:t>
            </w:r>
          </w:p>
        </w:tc>
        <w:tc>
          <w:tcPr>
            <w:tcW w:type="dxa" w:w="385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Tratamento de riscos e Declaração de Aplicabilidade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96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6.2</w:t>
            </w:r>
          </w:p>
        </w:tc>
        <w:tc>
          <w:tcPr>
            <w:tcW w:type="dxa" w:w="385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Objetivos de segurança da informação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96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7.2</w:t>
            </w:r>
          </w:p>
        </w:tc>
        <w:tc>
          <w:tcPr>
            <w:tcW w:type="dxa" w:w="385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Competência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96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7.5</w:t>
            </w:r>
          </w:p>
        </w:tc>
        <w:tc>
          <w:tcPr>
            <w:tcW w:type="dxa" w:w="385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Informação documentada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96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8.1</w:t>
            </w:r>
          </w:p>
        </w:tc>
        <w:tc>
          <w:tcPr>
            <w:tcW w:type="dxa" w:w="385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Planeamento e controlo operacional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96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8.2</w:t>
            </w:r>
          </w:p>
        </w:tc>
        <w:tc>
          <w:tcPr>
            <w:tcW w:type="dxa" w:w="385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Avaliação de riscos de segurança da informação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96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8.3</w:t>
            </w:r>
          </w:p>
        </w:tc>
        <w:tc>
          <w:tcPr>
            <w:tcW w:type="dxa" w:w="385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Tratamento de riscos de segurança da informação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96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9.1</w:t>
            </w:r>
          </w:p>
        </w:tc>
        <w:tc>
          <w:tcPr>
            <w:tcW w:type="dxa" w:w="385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Monitorização, medição, análise e avaliação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96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9.2</w:t>
            </w:r>
          </w:p>
        </w:tc>
        <w:tc>
          <w:tcPr>
            <w:tcW w:type="dxa" w:w="385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Auditoria interna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96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9.3</w:t>
            </w:r>
          </w:p>
        </w:tc>
        <w:tc>
          <w:tcPr>
            <w:tcW w:type="dxa" w:w="385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Revisão pela gestão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96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10.2</w:t>
            </w:r>
          </w:p>
        </w:tc>
        <w:tc>
          <w:tcPr>
            <w:tcW w:type="dxa" w:w="385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Não conformidades e ações corretivas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</w:tbl>
    <w:sectPr>
      <w:headerReference w:type="default" r:id="rId6"/>
      <w:footerReference w:type="default" r:id="rId7"/>
      <w:pgSz w:w="11906" w:h="16838" w:orient="portrait"/>
      <w:pgMar w:top="1300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B6474"/>
        <w:sz w:val="16"/>
        <w:szCs w:val="16"/>
      </w:rPr>
      <w:t xml:space="preserve">Página </w:t>
    </w:r>
    <w:r>
      <w:rPr>
        <w:rFonts w:ascii="Calibri" w:cs="Calibri" w:eastAsia="Calibri" w:hAnsi="Calibri"/>
        <w:color w:val="5B6474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EE7" w:sz="4" w:space="6"/>
      </w:pBdr>
    </w:pPr>
    <w:r>
      <w:drawing>
        <wp:inline distT="0" distB="0" distL="0" distR="0">
          <wp:extent cx="1047750" cy="238125"/>
          <wp:effectExtent t="0" r="0" b="0" l="0"/>
          <wp:docPr id="8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47750" cy="238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cs="Calibri" w:eastAsia="Calibri" w:hAnsi="Calibri"/>
        <w:color w:val="5B6474"/>
        <w:sz w:val="16"/>
        <w:szCs w:val="16"/>
      </w:rPr>
      <w:t xml:space="preserve">     Modelos ISO/IEC 27001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11827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240" w:before="120"/>
      <w:outlineLvl w:val="0"/>
    </w:pPr>
    <w:rPr>
      <w:rFonts w:ascii="Calibri" w:cs="Calibri" w:eastAsia="Calibri" w:hAnsi="Calibri"/>
      <w:b/>
      <w:bCs/>
      <w:color w:val="070A13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Calibri" w:cs="Calibri" w:eastAsia="Calibri" w:hAnsi="Calibri"/>
      <w:b/>
      <w:bCs/>
      <w:color w:val="8A6620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100" w:before="200"/>
      <w:outlineLvl w:val="2"/>
    </w:pPr>
    <w:rPr>
      <w:rFonts w:ascii="Calibri" w:cs="Calibri" w:eastAsia="Calibri" w:hAnsi="Calibri"/>
      <w:b/>
      <w:bCs/>
      <w:color w:val="17766C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c934d0208018355a128f3c9348b3b0420e8ddc7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32bab67dd59ebc2fce9822ffb475f89ec0fad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Modelos ISO/IEC 27001</dc:title>
  <dc:creator>AnkoraOne</dc:creator>
  <dc:description>Modelos de trabalho do sistema de gestão da segurança da informação</dc:description>
  <cp:lastModifiedBy>Un-named</cp:lastModifiedBy>
  <cp:revision>1</cp:revision>
  <dcterms:created xsi:type="dcterms:W3CDTF">2026-10-27T01:29:30.585Z</dcterms:created>
  <dcterms:modified xsi:type="dcterms:W3CDTF">2026-10-27T01:29:30.585Z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