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2600" w:hRule="atLeast"/>
        </w:trPr>
        <w:tc>
          <w:tcPr>
            <w:tcW w:type="dxa" w:w="9638"/>
            <w:tcBorders>
              <w:top w:val="none" w:color="070A13" w:sz="0"/>
              <w:left w:val="none" w:color="070A13" w:sz="0"/>
              <w:bottom w:val="none" w:color="070A13" w:sz="0"/>
              <w:right w:val="none" w:color="070A13" w:sz="0"/>
            </w:tcBorders>
            <w:shd w:fill="070A13" w:color="auto" w:val="clear"/>
            <w:tcMar>
              <w:top w:type="dxa" w:w="500"/>
              <w:left w:type="dxa" w:w="500"/>
              <w:bottom w:type="dxa" w:w="500"/>
              <w:right w:type="dxa" w:w="500"/>
            </w:tcMar>
            <w:vAlign w:val="center"/>
          </w:tcPr>
          <w:p>
            <w:pPr>
              <w:spacing w:after="1400"/>
            </w:pPr>
            <w:r>
              <w:drawing>
                <wp:inline distT="0" distB="0" distL="0" distR="0">
                  <wp:extent cx="2857500" cy="6477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647700"/>
                          </a:xfrm>
                          <a:prstGeom prst="rect">
                            <a:avLst/>
                          </a:prstGeom>
                        </pic:spPr>
                      </pic:pic>
                    </a:graphicData>
                  </a:graphic>
                </wp:inline>
              </w:drawing>
            </w:r>
          </w:p>
          <w:p>
            <w:pPr>
              <w:spacing w:after="200"/>
            </w:pPr>
            <w:r>
              <w:rPr>
                <w:rFonts w:ascii="Calibri" w:cs="Calibri" w:eastAsia="Calibri" w:hAnsi="Calibri"/>
                <w:b/>
                <w:bCs/>
                <w:color w:val="CFA04A"/>
                <w:spacing w:val="60"/>
                <w:sz w:val="22"/>
                <w:szCs w:val="22"/>
              </w:rPr>
              <w:t xml:space="preserve">MODELOS E RELATÓRIOS</w:t>
            </w:r>
          </w:p>
          <w:p>
            <w:pPr>
              <w:spacing w:after="240"/>
            </w:pPr>
            <w:r>
              <w:rPr>
                <w:rFonts w:ascii="Calibri" w:cs="Calibri" w:eastAsia="Calibri" w:hAnsi="Calibri"/>
                <w:b/>
                <w:bCs/>
                <w:color w:val="FFFFFF"/>
                <w:sz w:val="56"/>
                <w:szCs w:val="56"/>
              </w:rPr>
              <w:t xml:space="preserve">DORA</w:t>
            </w:r>
          </w:p>
          <w:p>
            <w:pPr>
              <w:spacing w:after="1200" w:line="300"/>
            </w:pPr>
            <w:r>
              <w:rPr>
                <w:rFonts w:ascii="Calibri" w:cs="Calibri" w:eastAsia="Calibri" w:hAnsi="Calibri"/>
                <w:color w:val="C9CFDA"/>
                <w:sz w:val="24"/>
                <w:szCs w:val="24"/>
              </w:rPr>
              <w:t xml:space="preserve">Classificação de incidentes, notificação inicial, relatórios intercalar e final, notificação de ciberameaças, índice do quadro de gestão do risco TIC e organização do registo de informação.</w:t>
            </w:r>
          </w:p>
          <w:p>
            <w:pPr>
              <w:spacing w:after="360" w:line="300"/>
            </w:pPr>
            <w:r>
              <w:rPr>
                <w:rFonts w:ascii="Calibri" w:cs="Calibri" w:eastAsia="Calibri" w:hAnsi="Calibri"/>
                <w:b/>
                <w:bCs/>
                <w:color w:val="CFA04A"/>
                <w:sz w:val="22"/>
                <w:szCs w:val="22"/>
              </w:rPr>
              <w:t xml:space="preserve">AnkoraOne: </w:t>
            </w:r>
            <w:r>
              <w:rPr>
                <w:rFonts w:ascii="Calibri" w:cs="Calibri" w:eastAsia="Calibri" w:hAnsi="Calibri"/>
                <w:color w:val="FFFFFF"/>
                <w:sz w:val="22"/>
                <w:szCs w:val="22"/>
              </w:rPr>
              <w:t xml:space="preserve">a infraestrutura inteligente de governação, risco e conformidade</w:t>
            </w:r>
          </w:p>
          <w:p>
            <w:pPr>
              <w:spacing w:after="60"/>
            </w:pPr>
            <w:r>
              <w:rPr>
                <w:rFonts w:ascii="Calibri" w:cs="Calibri" w:eastAsia="Calibri" w:hAnsi="Calibri"/>
                <w:color w:val="C9CFDA"/>
                <w:sz w:val="20"/>
                <w:szCs w:val="20"/>
              </w:rPr>
              <w:t xml:space="preserve">Versão 1.0 · outubro de 2026</w:t>
            </w:r>
          </w:p>
          <w:p>
            <w:r>
              <w:rPr>
                <w:rFonts w:ascii="Calibri" w:cs="Calibri" w:eastAsia="Calibri" w:hAnsi="Calibri"/>
                <w:b/>
                <w:bCs/>
                <w:color w:val="CFA04A"/>
                <w:sz w:val="20"/>
                <w:szCs w:val="20"/>
              </w:rPr>
              <w:t xml:space="preserve">app.ankoraone.com</w:t>
            </w:r>
          </w:p>
        </w:tc>
      </w:tr>
    </w:tbl>
    <w:p>
      <w:pPr>
        <w:sectPr>
          <w:pgSz w:w="11906" w:h="16838" w:orient="portrait"/>
          <w:pgMar w:top="1134" w:right="1134" w:bottom="1134" w:left="1134" w:header="708" w:footer="708" w:gutter="0"/>
          <w:pgNumType/>
          <w:docGrid w:linePitch="360"/>
        </w:sectPr>
      </w:pPr>
    </w:p>
    <w:p>
      <w:pPr>
        <w:pStyle w:val="Heading1"/>
        <w:pageBreakBefore/>
      </w:pPr>
      <w:r>
        <w:rPr>
          <w:rFonts w:ascii="Calibri" w:cs="Calibri" w:eastAsia="Calibri" w:hAnsi="Calibri"/>
        </w:rPr>
        <w:t xml:space="preserve">Índice</w:t>
      </w:r>
    </w:p>
    <w:sdt>
      <w:sdtPr>
        <w:alias w:val="Índice"/>
      </w:sdtPr>
      <w:sdtContent>
        <w:p>
          <w:r>
            <w:fldChar w:fldCharType="begin" w:dirty="true"/>
            <w:instrText xml:space="preserve">TOC \h \o "1-2"</w:instrText>
            <w:fldChar w:fldCharType="separate"/>
          </w:r>
        </w:p>
        <w:p>
          <w:r>
            <w:fldChar w:fldCharType="end"/>
          </w:r>
        </w:p>
      </w:sdtContent>
    </w:sdt>
    <w:p>
      <w:pPr>
        <w:spacing w:after="120" w:line="288"/>
      </w:pPr>
      <w:r>
        <w:rPr>
          <w:rFonts w:ascii="Calibri" w:cs="Calibri" w:eastAsia="Calibri" w:hAnsi="Calibri"/>
          <w:i/>
          <w:iCs/>
          <w:color w:val="5B6474"/>
          <w:sz w:val="18"/>
          <w:szCs w:val="18"/>
        </w:rPr>
        <w:t xml:space="preserve">Se o índice aparecer vazio, atualize os campos no Word (botão direito → Atualizar campo).</w:t>
      </w:r>
    </w:p>
    <w:p>
      <w:pPr>
        <w:pStyle w:val="Heading1"/>
        <w:pageBreakBefore/>
      </w:pPr>
      <w:r>
        <w:rPr>
          <w:rFonts w:ascii="Calibri" w:cs="Calibri" w:eastAsia="Calibri" w:hAnsi="Calibri"/>
        </w:rPr>
        <w:t xml:space="preserve">Como usar estes modelos</w:t>
      </w:r>
    </w:p>
    <w:p>
      <w:pPr>
        <w:spacing w:after="120" w:line="288"/>
      </w:pPr>
      <w:r>
        <w:rPr>
          <w:rFonts w:ascii="Calibri" w:cs="Calibri" w:eastAsia="Calibri" w:hAnsi="Calibri"/>
        </w:rPr>
        <w:t xml:space="preserve">Este documento reúne os modelos de trabalho para o Regulamento (UE) 2022/2554 (DORA) e os atos delegados e de execução da Biblioteca Legal. Cada modelo começa numa página nova, indica a base legal, o prazo e o canal de envio, e tem um formulário com os campos exigidos.</w:t>
      </w:r>
    </w:p>
    <w:p>
      <w:pPr>
        <w:spacing w:after="120" w:line="288"/>
      </w:pPr>
      <w:r>
        <w:rPr>
          <w:rFonts w:ascii="Calibri" w:cs="Calibri" w:eastAsia="Calibri" w:hAnsi="Calibri"/>
        </w:rPr>
        <w:t xml:space="preserve">Nos modelos legais, a coluna </w:t>
      </w:r>
      <w:r>
        <w:rPr>
          <w:rFonts w:ascii="Calibri" w:cs="Calibri" w:eastAsia="Calibri" w:hAnsi="Calibri"/>
          <w:b/>
          <w:bCs/>
        </w:rPr>
        <w:t xml:space="preserve">Campo</w:t>
      </w:r>
      <w:r>
        <w:rPr>
          <w:rFonts w:ascii="Calibri" w:cs="Calibri" w:eastAsia="Calibri" w:hAnsi="Calibri"/>
        </w:rPr>
        <w:t xml:space="preserve"> reproduz a redação do diploma, alínea a alínea, tal como está publicada no Diário da República ou no Jornal Oficial da UE. Não se acrescentaram nem retiraram requisitos. Os campos sem base legal estão assinalados como «elemento de controlo interno».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4F1EA" w:sz="4"/>
              <w:left w:val="single" w:color="F4F1EA" w:sz="4"/>
              <w:bottom w:val="single" w:color="F4F1EA" w:sz="4"/>
              <w:right w:val="single" w:color="F4F1EA" w:sz="4"/>
            </w:tcBorders>
            <w:shd w:fill="F4F1EA" w:color="auto" w:val="clear"/>
            <w:tcMar>
              <w:top w:type="dxa" w:w="140"/>
              <w:left w:type="dxa" w:w="200"/>
              <w:bottom w:type="dxa" w:w="140"/>
              <w:right w:type="dxa" w:w="200"/>
            </w:tcMar>
          </w:tcPr>
          <w:p>
            <w:pPr>
              <w:spacing w:after="80"/>
            </w:pPr>
            <w:r>
              <w:rPr>
                <w:rFonts w:ascii="Calibri" w:cs="Calibri" w:eastAsia="Calibri" w:hAnsi="Calibri"/>
                <w:b/>
                <w:bCs/>
                <w:color w:val="8A6620"/>
              </w:rPr>
              <w:t xml:space="preserve">Canal oficial e prevalência</w:t>
            </w:r>
          </w:p>
          <w:p>
            <w:pPr>
              <w:spacing w:after="60" w:line="276"/>
            </w:pPr>
            <w:r>
              <w:rPr>
                <w:rFonts w:ascii="Calibri" w:cs="Calibri" w:eastAsia="Calibri" w:hAnsi="Calibri"/>
              </w:rPr>
              <w:t xml:space="preserve">As notificações de incidentes de caráter severo e o registo de informação são enviados à autoridade competente (em Portugal, Banco de Portugal, ASF ou CMVM, conforme a entidade), no formato técnico que essa autoridade definir.</w:t>
            </w:r>
          </w:p>
          <w:p>
            <w:pPr>
              <w:spacing w:after="60" w:line="276"/>
            </w:pPr>
            <w:r>
              <w:rPr>
                <w:rFonts w:ascii="Calibri" w:cs="Calibri" w:eastAsia="Calibri" w:hAnsi="Calibri"/>
              </w:rPr>
              <w:t xml:space="preserve">Os modelos e formatos de dados oficiais das autoridades europeias de supervisão e da autoridade competente prevalecem. Estes documentos servem para reunir e validar a informação antes do envio.</w:t>
            </w:r>
          </w:p>
        </w:tc>
      </w:tr>
    </w:tbl>
    <w:p>
      <w:pPr>
        <w:pStyle w:val="Heading2"/>
      </w:pPr>
      <w:r>
        <w:rPr>
          <w:rFonts w:ascii="Calibri" w:cs="Calibri" w:eastAsia="Calibri" w:hAnsi="Calibri"/>
        </w:rPr>
        <w:t xml:space="preserve">Regras de preenchimento</w:t>
      </w:r>
    </w:p>
    <w:p>
      <w:pPr>
        <w:pStyle w:val="ListParagraph"/>
        <w:numPr>
          <w:ilvl w:val="0"/>
          <w:numId w:val="2"/>
        </w:numPr>
        <w:spacing w:after="80" w:line="276"/>
      </w:pPr>
      <w:r>
        <w:rPr>
          <w:rFonts w:ascii="Calibri" w:cs="Calibri" w:eastAsia="Calibri" w:hAnsi="Calibri"/>
        </w:rPr>
        <w:t xml:space="preserve">Preencha a coluna </w:t>
      </w:r>
      <w:r>
        <w:rPr>
          <w:rFonts w:ascii="Calibri" w:cs="Calibri" w:eastAsia="Calibri" w:hAnsi="Calibri"/>
          <w:b/>
          <w:bCs/>
        </w:rPr>
        <w:t xml:space="preserve">Preenchimento</w:t>
      </w:r>
      <w:r>
        <w:rPr>
          <w:rFonts w:ascii="Calibri" w:cs="Calibri" w:eastAsia="Calibri" w:hAnsi="Calibri"/>
        </w:rPr>
        <w:t xml:space="preserve"> e guarde o documento no repositório documental do cliente, com a data e a versão.</w:t>
      </w:r>
    </w:p>
    <w:p>
      <w:pPr>
        <w:pStyle w:val="ListParagraph"/>
        <w:numPr>
          <w:ilvl w:val="0"/>
          <w:numId w:val="2"/>
        </w:numPr>
        <w:spacing w:after="80" w:line="276"/>
      </w:pPr>
      <w:r>
        <w:rPr>
          <w:rFonts w:ascii="Calibri" w:cs="Calibri" w:eastAsia="Calibri" w:hAnsi="Calibri"/>
        </w:rPr>
        <w:t xml:space="preserve">Nos campos que o diploma admite «se aplicável» ou «se disponível», escreva «Não aplicável» ou «Ainda não disponível» em vez de deixar em branco.</w:t>
      </w:r>
    </w:p>
    <w:p>
      <w:pPr>
        <w:pStyle w:val="ListParagraph"/>
        <w:numPr>
          <w:ilvl w:val="0"/>
          <w:numId w:val="2"/>
        </w:numPr>
        <w:spacing w:after="80" w:line="276"/>
      </w:pPr>
      <w:r>
        <w:rPr>
          <w:rFonts w:ascii="Calibri" w:cs="Calibri" w:eastAsia="Calibri" w:hAnsi="Calibri"/>
        </w:rPr>
        <w:t xml:space="preserve">Datas e horas no formato AAAA-MM-DD hh:mm, com o fuso horário (por exemplo 2026-10-27 09:30 WET).</w:t>
      </w:r>
    </w:p>
    <w:p>
      <w:pPr>
        <w:pStyle w:val="ListParagraph"/>
        <w:numPr>
          <w:ilvl w:val="0"/>
          <w:numId w:val="2"/>
        </w:numPr>
        <w:spacing w:after="80" w:line="276"/>
      </w:pPr>
      <w:r>
        <w:rPr>
          <w:rFonts w:ascii="Calibri" w:cs="Calibri" w:eastAsia="Calibri" w:hAnsi="Calibri"/>
        </w:rPr>
        <w:t xml:space="preserve">Na AnkoraOne, os mesmos campos estão nos rascunhos com IA e no plano do incidente; o texto gerado é sempre revisto antes de ser enviado.</w:t>
      </w:r>
    </w:p>
    <w:p>
      <w:pPr>
        <w:pStyle w:val="Heading1"/>
        <w:pageBreakBefore/>
      </w:pPr>
      <w:r>
        <w:rPr>
          <w:rFonts w:ascii="Calibri" w:cs="Calibri" w:eastAsia="Calibri" w:hAnsi="Calibri"/>
        </w:rPr>
        <w:t xml:space="preserve">D1 · Classificação do incidente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Elemento</w:t>
            </w:r>
          </w:p>
        </w:tc>
        <w:tc>
          <w:tcPr>
            <w:tcW w:type="dxa" w:w="6747"/>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Indicação</w:t>
            </w:r>
          </w:p>
        </w:tc>
      </w:tr>
      <w:tr>
        <w:trPr>
          <w:cantSplit/>
        </w:trPr>
        <w:tc>
          <w:tcPr>
            <w:tcW w:type="dxa" w:w="289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Base legal</w:t>
            </w:r>
          </w:p>
        </w:tc>
        <w:tc>
          <w:tcPr>
            <w:tcW w:type="dxa" w:w="674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2024/1772, art. 8.º, n.º 1; RTS 2024/1772, art. 8.º, n.º 2</w:t>
            </w:r>
          </w:p>
        </w:tc>
      </w:tr>
      <w:tr>
        <w:trPr>
          <w:cantSplit/>
        </w:trPr>
        <w:tc>
          <w:tcPr>
            <w:tcW w:type="dxa" w:w="289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Uso</w:t>
            </w:r>
          </w:p>
        </w:tc>
        <w:tc>
          <w:tcPr>
            <w:tcW w:type="dxa" w:w="674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Registe os critérios e limiares atingidos. A classificação como incidente de caráter severo inicia o prazo da notificação inicial</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4F1EA" w:sz="4"/>
              <w:left w:val="single" w:color="F4F1EA" w:sz="4"/>
              <w:bottom w:val="single" w:color="F4F1EA" w:sz="4"/>
              <w:right w:val="single" w:color="F4F1EA" w:sz="4"/>
            </w:tcBorders>
            <w:shd w:fill="F4F1EA" w:color="auto" w:val="clear"/>
            <w:tcMar>
              <w:top w:type="dxa" w:w="140"/>
              <w:left w:type="dxa" w:w="200"/>
              <w:bottom w:type="dxa" w:w="140"/>
              <w:right w:type="dxa" w:w="200"/>
            </w:tcMar>
          </w:tcPr>
          <w:p>
            <w:pPr>
              <w:spacing w:after="80"/>
            </w:pPr>
            <w:r>
              <w:rPr>
                <w:rFonts w:ascii="Calibri" w:cs="Calibri" w:eastAsia="Calibri" w:hAnsi="Calibri"/>
                <w:b/>
                <w:bCs/>
                <w:color w:val="8A6620"/>
              </w:rPr>
              <w:t xml:space="preserve">RTS 2024/1772, art. 8.º, n.º 1</w:t>
            </w:r>
          </w:p>
          <w:p>
            <w:pPr>
              <w:spacing w:after="60" w:line="276"/>
            </w:pPr>
            <w:r>
              <w:rPr>
                <w:rFonts w:ascii="Calibri" w:cs="Calibri" w:eastAsia="Calibri" w:hAnsi="Calibri"/>
              </w:rPr>
              <w:t xml:space="preserve">1. Um incidente é considerado um incidente de caráter severo para efeitos do artigo 19.º, n.º 1, do Regulamento (UE) 2022/2554 se tiver afetado os serviços críticos a que se refere o artigo 6.º e se estiver preenchida uma das seguintes condições:</w:t>
            </w:r>
          </w:p>
          <w:p>
            <w:pPr>
              <w:spacing w:after="60" w:line="276"/>
            </w:pPr>
            <w:r>
              <w:rPr>
                <w:rFonts w:ascii="Calibri" w:cs="Calibri" w:eastAsia="Calibri" w:hAnsi="Calibri"/>
              </w:rPr>
              <w:t xml:space="preserve">a) Foi atingido o limiar de materialidade a que se refere o artigo 9.º, n.º 5, alínea b);</w:t>
            </w:r>
          </w:p>
          <w:p>
            <w:pPr>
              <w:spacing w:after="60" w:line="276"/>
            </w:pPr>
            <w:r>
              <w:rPr>
                <w:rFonts w:ascii="Calibri" w:cs="Calibri" w:eastAsia="Calibri" w:hAnsi="Calibri"/>
              </w:rPr>
              <w:t xml:space="preserve">b) Foram atingidos dois ou mais dos outros limiares de materialidade a que se refere o artigo 9.º, n.os 1 a 6.</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4F1EA" w:sz="4"/>
              <w:left w:val="single" w:color="F4F1EA" w:sz="4"/>
              <w:bottom w:val="single" w:color="F4F1EA" w:sz="4"/>
              <w:right w:val="single" w:color="F4F1EA" w:sz="4"/>
            </w:tcBorders>
            <w:shd w:fill="F4F1EA" w:color="auto" w:val="clear"/>
            <w:tcMar>
              <w:top w:type="dxa" w:w="140"/>
              <w:left w:type="dxa" w:w="200"/>
              <w:bottom w:type="dxa" w:w="140"/>
              <w:right w:type="dxa" w:w="200"/>
            </w:tcMar>
          </w:tcPr>
          <w:p>
            <w:pPr>
              <w:spacing w:after="80"/>
            </w:pPr>
            <w:r>
              <w:rPr>
                <w:rFonts w:ascii="Calibri" w:cs="Calibri" w:eastAsia="Calibri" w:hAnsi="Calibri"/>
                <w:b/>
                <w:bCs/>
                <w:color w:val="8A6620"/>
              </w:rPr>
              <w:t xml:space="preserve">RTS 2024/1772, art. 8.º, n.º 2</w:t>
            </w:r>
          </w:p>
          <w:p>
            <w:pPr>
              <w:spacing w:after="60" w:line="276"/>
            </w:pPr>
            <w:r>
              <w:rPr>
                <w:rFonts w:ascii="Calibri" w:cs="Calibri" w:eastAsia="Calibri" w:hAnsi="Calibri"/>
              </w:rPr>
              <w:t xml:space="preserve">2. Os incidentes recorrentes que, individualmente, não sejam considerados incidentes de caráter severo nos termos do n.º 1 devem ser considerados incidentes de caráter severo se preencherem todas as condições seguintes:</w:t>
            </w:r>
          </w:p>
          <w:p>
            <w:pPr>
              <w:spacing w:after="60" w:line="276"/>
            </w:pPr>
            <w:r>
              <w:rPr>
                <w:rFonts w:ascii="Calibri" w:cs="Calibri" w:eastAsia="Calibri" w:hAnsi="Calibri"/>
              </w:rPr>
              <w:t xml:space="preserve">a) Ocorreram pelo menos duas vezes num período de seis meses;</w:t>
            </w:r>
          </w:p>
          <w:p>
            <w:pPr>
              <w:spacing w:after="60" w:line="276"/>
            </w:pPr>
            <w:r>
              <w:rPr>
                <w:rFonts w:ascii="Calibri" w:cs="Calibri" w:eastAsia="Calibri" w:hAnsi="Calibri"/>
              </w:rPr>
              <w:t xml:space="preserve">b) Têm a mesma causa profunda aparente, como referido no artigo 20.º, primeiro parágrafo, alínea b), do Regulamento (UE) 2022/2554;</w:t>
            </w:r>
          </w:p>
          <w:p>
            <w:pPr>
              <w:spacing w:after="60" w:line="276"/>
            </w:pPr>
            <w:r>
              <w:rPr>
                <w:rFonts w:ascii="Calibri" w:cs="Calibri" w:eastAsia="Calibri" w:hAnsi="Calibri"/>
              </w:rPr>
              <w:t xml:space="preserve">c) Preenchem coletivamente os critérios para serem considerados como um incidente de caráter severo conforme estabelecido no n.º 1.</w:t>
            </w:r>
          </w:p>
          <w:p>
            <w:pPr>
              <w:spacing w:after="60" w:line="276"/>
            </w:pPr>
            <w:r>
              <w:rPr>
                <w:rFonts w:ascii="Calibri" w:cs="Calibri" w:eastAsia="Calibri" w:hAnsi="Calibri"/>
              </w:rPr>
              <w:t xml:space="preserve">As entidades financeiras devem avaliar mensalmente a existência de incidentes recorrentes.</w:t>
            </w:r>
          </w:p>
          <w:p>
            <w:pPr>
              <w:spacing w:after="60" w:line="276"/>
            </w:pPr>
            <w:r>
              <w:rPr>
                <w:rFonts w:ascii="Calibri" w:cs="Calibri" w:eastAsia="Calibri" w:hAnsi="Calibri"/>
              </w:rPr>
              <w:t xml:space="preserve">O presente número não se aplica às microempresas nem às entidades financeiras enumeradas no artigo 16.º, n.º 1, do Regulamento (UE) 2022/2554.</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2120"/>
        <w:gridCol w:w="3663"/>
      </w:tblGrid>
      <w:tr>
        <w:trPr>
          <w:tblHeader/>
        </w:trPr>
        <w:tc>
          <w:tcPr>
            <w:tcW w:type="dxa" w:w="3855"/>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Campo</w:t>
            </w:r>
          </w:p>
        </w:tc>
        <w:tc>
          <w:tcPr>
            <w:tcW w:type="dxa" w:w="2120"/>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Referência</w:t>
            </w:r>
          </w:p>
        </w:tc>
        <w:tc>
          <w:tcPr>
            <w:tcW w:type="dxa" w:w="3663"/>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Preenchimento</w:t>
            </w:r>
          </w:p>
        </w:tc>
      </w:tr>
      <w:tr>
        <w:trPr>
          <w:cantSplit/>
        </w:trPr>
        <w:tc>
          <w:tcPr>
            <w:tcW w:type="dxa" w:w="385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Serviços críticos afetados</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2024/1772, art. 6.º</w:t>
            </w:r>
          </w:p>
        </w:tc>
        <w:tc>
          <w:tcPr>
            <w:tcW w:type="dxa" w:w="366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385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Limiar do art. 9.º, n.º 5, alínea b), atingido?</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2024/1772, art. 8.º, n.º 1, alínea a)</w:t>
            </w:r>
          </w:p>
        </w:tc>
        <w:tc>
          <w:tcPr>
            <w:tcW w:type="dxa" w:w="366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385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Outros limiares atingidos (art. 9.º, n.os 1 a 6)</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2024/1772, art. 8.º, n.º 1, alínea b)</w:t>
            </w:r>
          </w:p>
        </w:tc>
        <w:tc>
          <w:tcPr>
            <w:tcW w:type="dxa" w:w="366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385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Incidente recorrente (mesma causa, 2 ou mais vezes em 6 meses)?</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2024/1772, art. 8.º, n.º 2</w:t>
            </w:r>
          </w:p>
        </w:tc>
        <w:tc>
          <w:tcPr>
            <w:tcW w:type="dxa" w:w="366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385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Conclusão e data e hora da classificação</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2025/301, art. 5.º</w:t>
            </w:r>
          </w:p>
        </w:tc>
        <w:tc>
          <w:tcPr>
            <w:tcW w:type="dxa" w:w="366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bl>
    <w:p>
      <w:pPr>
        <w:pStyle w:val="Heading1"/>
        <w:pageBreakBefore/>
      </w:pPr>
      <w:r>
        <w:rPr>
          <w:rFonts w:ascii="Calibri" w:cs="Calibri" w:eastAsia="Calibri" w:hAnsi="Calibri"/>
        </w:rPr>
        <w:t xml:space="preserve">D2 · Notificação inicial de incidente de caráter severo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Elemento</w:t>
            </w:r>
          </w:p>
        </w:tc>
        <w:tc>
          <w:tcPr>
            <w:tcW w:type="dxa" w:w="6747"/>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Indicação</w:t>
            </w:r>
          </w:p>
        </w:tc>
      </w:tr>
      <w:tr>
        <w:trPr>
          <w:cantSplit/>
        </w:trPr>
        <w:tc>
          <w:tcPr>
            <w:tcW w:type="dxa" w:w="289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Base legal</w:t>
            </w:r>
          </w:p>
        </w:tc>
        <w:tc>
          <w:tcPr>
            <w:tcW w:type="dxa" w:w="674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DORA, art. 19.º, n.º 4; RTS 2025/301, art. 2.º</w:t>
            </w:r>
          </w:p>
        </w:tc>
      </w:tr>
      <w:tr>
        <w:trPr>
          <w:cantSplit/>
        </w:trPr>
        <w:tc>
          <w:tcPr>
            <w:tcW w:type="dxa" w:w="289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Prazo</w:t>
            </w:r>
          </w:p>
        </w:tc>
        <w:tc>
          <w:tcPr>
            <w:tcW w:type="dxa" w:w="674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4 horas após a classificação como incidente de caráter severo e, no máximo, 24 horas após a entidade ter tomado conhecimento (RTS 2025/301, art. 5.º, n.º 1, alínea a)); classificação tardia: 4 horas após a classificação (n.º 2)</w:t>
            </w:r>
          </w:p>
        </w:tc>
      </w:tr>
      <w:tr>
        <w:trPr>
          <w:cantSplit/>
        </w:trPr>
        <w:tc>
          <w:tcPr>
            <w:tcW w:type="dxa" w:w="289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Fim de semana ou feriado</w:t>
            </w:r>
          </w:p>
        </w:tc>
        <w:tc>
          <w:tcPr>
            <w:tcW w:type="dxa" w:w="674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Pode ser enviada até ao meio-dia do dia útil seguinte (RTS 2025/301, art. 5.º, n.º 4), exceto nos casos dos n.os 5 e 6 do mesmo artigo</w:t>
            </w:r>
          </w:p>
        </w:tc>
      </w:tr>
      <w:tr>
        <w:trPr>
          <w:cantSplit/>
        </w:trPr>
        <w:tc>
          <w:tcPr>
            <w:tcW w:type="dxa" w:w="289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Se não for possível cumprir o prazo</w:t>
            </w:r>
          </w:p>
        </w:tc>
        <w:tc>
          <w:tcPr>
            <w:tcW w:type="dxa" w:w="674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Informar a autoridade competente sem demora injustificada, o mais tardar no próprio prazo, explicando as razões (RTS 2025/301, art. 5.º, n.º 3)</w:t>
            </w:r>
          </w:p>
        </w:tc>
      </w:tr>
    </w:tbl>
    <w:p>
      <w:pPr>
        <w:spacing w:after="60"/>
      </w:pPr>
    </w:p>
    <w:p>
      <w:pPr>
        <w:pStyle w:val="Heading2"/>
      </w:pPr>
      <w:r>
        <w:rPr>
          <w:rFonts w:ascii="Calibri" w:cs="Calibri" w:eastAsia="Calibri" w:hAnsi="Calibri"/>
        </w:rPr>
        <w:t xml:space="preserve">Informações gerais (RTS 2025/301, art. 1.º)</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41"/>
        <w:gridCol w:w="1735"/>
        <w:gridCol w:w="3662"/>
      </w:tblGrid>
      <w:tr>
        <w:trPr>
          <w:tblHeader/>
        </w:trPr>
        <w:tc>
          <w:tcPr>
            <w:tcW w:type="dxa" w:w="4241"/>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Campo (redação do diploma)</w:t>
            </w:r>
          </w:p>
        </w:tc>
        <w:tc>
          <w:tcPr>
            <w:tcW w:type="dxa" w:w="1735"/>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Base legal</w:t>
            </w:r>
          </w:p>
        </w:tc>
        <w:tc>
          <w:tcPr>
            <w:tcW w:type="dxa" w:w="3662"/>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Preenchimento</w:t>
            </w: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 O tipo de apresentação (notificação inicial, relatório intercalar ou relatório final)</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2025/301, art. 1.º, al. a)</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b) O nome da entidade financeira, o seu código LEI e o tipo de entidade financeira, como referido no artigo 2.º, n.º 1, do Regulamento (UE) 2022/2554</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2025/301, art. 1.º, al. b)</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c) O nome e o código de identificação da entidade que apresenta a notificação inicial, o relatório intercalar ou o relatório final em nome da entidade financeira</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2025/301, art. 1.º, al. c)</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d) Se for caso disso, os nomes e códigos LEI de todas as entidades financeiras abrangidas pela notificação inicial, relatório intercalar ou relatório final agregados</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2025/301, art. 1.º, al. d)</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e) Os dados de contacto das pessoas responsáveis pela comunicação com a autoridade competente sobre o incidente de caráter severo relacionado com as TIC</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2025/301, art. 1.º, al. e)</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f) Se for caso disso, a identificação da empresa-mãe do grupo ao qual pertence a entidade financeira</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2025/301, art. 1.º, al. f)</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g) Em caso de impacto monetário, a divisa em que se baseiam os montantes</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2025/301, art. 1.º, al. g)</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bl>
    <w:p>
      <w:pPr>
        <w:pStyle w:val="Heading2"/>
      </w:pPr>
      <w:r>
        <w:rPr>
          <w:rFonts w:ascii="Calibri" w:cs="Calibri" w:eastAsia="Calibri" w:hAnsi="Calibri"/>
        </w:rPr>
        <w:t xml:space="preserve">Informações específicas (RTS 2025/301, art. 2.º)</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41"/>
        <w:gridCol w:w="1735"/>
        <w:gridCol w:w="3662"/>
      </w:tblGrid>
      <w:tr>
        <w:trPr>
          <w:tblHeader/>
        </w:trPr>
        <w:tc>
          <w:tcPr>
            <w:tcW w:type="dxa" w:w="4241"/>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Campo (redação do diploma)</w:t>
            </w:r>
          </w:p>
        </w:tc>
        <w:tc>
          <w:tcPr>
            <w:tcW w:type="dxa" w:w="1735"/>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Base legal</w:t>
            </w:r>
          </w:p>
        </w:tc>
        <w:tc>
          <w:tcPr>
            <w:tcW w:type="dxa" w:w="3662"/>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Preenchimento</w:t>
            </w: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 O código de referência atribuído ao incidente pela entidade financeira</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2025/301, art. 2.º, al. a)</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b) A data de deteção, a hora de deteção e a classificação do incidente, nos termos do artigo 8.º do Regulamento Delegado (UE) 2024/1772 da Comissão</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2025/301, art. 2.º, al. b)</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c) Uma descrição do incidente relacionado com as TIC</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2025/301, art. 2.º, al. c)</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d) Os critérios, estabelecidos nos artigos 1.º a 8.º do Regulamento Delegado (UE) 2024/1772, com base nos quais a entidade financeira classificou o incidente relacionado com as TIC como sendo de caráter severo</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2025/301, art. 2.º, al. d)</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e) Os Estados-Membros afetados pelo incidente relacionado com as TIC</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2025/301, art. 2.º, al. e)</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f) Informações sobre a forma como o incidente relacionado com as TIC foi detetado</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2025/301, art. 2.º, al. f)</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g) Se disponíveis, informações sobre a origem do incidente relacionado com as TIC</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2025/301, art. 2.º, al. g)</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h) Informações sobre se a entidade financeira ativou um plano de continuidade das atividades</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2025/301, art. 2.º, al. h)</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i) Se for caso disso, informações sobre a reclassificação do incidente relacionado com as TIC de caráter severo para de caráter não severo</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2025/301, art. 2.º, al. i)</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j) Se disponíveis, quaisquer outras informações pertinentes</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2025/301, art. 2.º, al. j)</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bl>
    <w:p>
      <w:pPr>
        <w:pStyle w:val="Heading1"/>
        <w:pageBreakBefore/>
      </w:pPr>
      <w:r>
        <w:rPr>
          <w:rFonts w:ascii="Calibri" w:cs="Calibri" w:eastAsia="Calibri" w:hAnsi="Calibri"/>
        </w:rPr>
        <w:t xml:space="preserve">D3 · Relatório intercalar de incidente de caráter severo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Elemento</w:t>
            </w:r>
          </w:p>
        </w:tc>
        <w:tc>
          <w:tcPr>
            <w:tcW w:type="dxa" w:w="6747"/>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Indicação</w:t>
            </w:r>
          </w:p>
        </w:tc>
      </w:tr>
      <w:tr>
        <w:trPr>
          <w:cantSplit/>
        </w:trPr>
        <w:tc>
          <w:tcPr>
            <w:tcW w:type="dxa" w:w="289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Base legal</w:t>
            </w:r>
          </w:p>
        </w:tc>
        <w:tc>
          <w:tcPr>
            <w:tcW w:type="dxa" w:w="674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DORA, art. 19.º, n.º 4; RTS 2025/301, art. 3.º</w:t>
            </w:r>
          </w:p>
        </w:tc>
      </w:tr>
      <w:tr>
        <w:trPr>
          <w:cantSplit/>
        </w:trPr>
        <w:tc>
          <w:tcPr>
            <w:tcW w:type="dxa" w:w="289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Prazo</w:t>
            </w:r>
          </w:p>
        </w:tc>
        <w:tc>
          <w:tcPr>
            <w:tcW w:type="dxa" w:w="674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No máximo 72 horas após a notificação inicial; relatório intercalar atualizado sem demora injustificada e, em qualquer caso, quando as atividades regulares forem repostas (RTS 2025/301, art. 5.º, n.º 1, alínea b))</w:t>
            </w:r>
          </w:p>
        </w:tc>
      </w:tr>
      <w:tr>
        <w:trPr>
          <w:cantSplit/>
        </w:trPr>
        <w:tc>
          <w:tcPr>
            <w:tcW w:type="dxa" w:w="289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Fim de semana ou feriado</w:t>
            </w:r>
          </w:p>
        </w:tc>
        <w:tc>
          <w:tcPr>
            <w:tcW w:type="dxa" w:w="674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Pode ser enviada até ao meio-dia do dia útil seguinte (RTS 2025/301, art. 5.º, n.º 4), exceto nos casos dos n.os 5 e 6 do mesmo artigo</w:t>
            </w:r>
          </w:p>
        </w:tc>
      </w:tr>
      <w:tr>
        <w:trPr>
          <w:cantSplit/>
        </w:trPr>
        <w:tc>
          <w:tcPr>
            <w:tcW w:type="dxa" w:w="289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Se não for possível cumprir o prazo</w:t>
            </w:r>
          </w:p>
        </w:tc>
        <w:tc>
          <w:tcPr>
            <w:tcW w:type="dxa" w:w="674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Informar a autoridade competente sem demora injustificada, o mais tardar no próprio prazo, explicando as razões (RTS 2025/301, art. 5.º, n.º 3)</w:t>
            </w:r>
          </w:p>
        </w:tc>
      </w:tr>
    </w:tbl>
    <w:p>
      <w:pPr>
        <w:spacing w:after="60"/>
      </w:pPr>
    </w:p>
    <w:p>
      <w:pPr>
        <w:pStyle w:val="Heading2"/>
      </w:pPr>
      <w:r>
        <w:rPr>
          <w:rFonts w:ascii="Calibri" w:cs="Calibri" w:eastAsia="Calibri" w:hAnsi="Calibri"/>
        </w:rPr>
        <w:t xml:space="preserve">Informações gerais (RTS 2025/301, art. 1.º)</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41"/>
        <w:gridCol w:w="1735"/>
        <w:gridCol w:w="3662"/>
      </w:tblGrid>
      <w:tr>
        <w:trPr>
          <w:tblHeader/>
        </w:trPr>
        <w:tc>
          <w:tcPr>
            <w:tcW w:type="dxa" w:w="4241"/>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Campo (redação do diploma)</w:t>
            </w:r>
          </w:p>
        </w:tc>
        <w:tc>
          <w:tcPr>
            <w:tcW w:type="dxa" w:w="1735"/>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Base legal</w:t>
            </w:r>
          </w:p>
        </w:tc>
        <w:tc>
          <w:tcPr>
            <w:tcW w:type="dxa" w:w="3662"/>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Preenchimento</w:t>
            </w: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 O tipo de apresentação (notificação inicial, relatório intercalar ou relatório final)</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2025/301, art. 1.º, al. a)</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b) O nome da entidade financeira, o seu código LEI e o tipo de entidade financeira, como referido no artigo 2.º, n.º 1, do Regulamento (UE) 2022/2554</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2025/301, art. 1.º, al. b)</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c) O nome e o código de identificação da entidade que apresenta a notificação inicial, o relatório intercalar ou o relatório final em nome da entidade financeira</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2025/301, art. 1.º, al. c)</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d) Se for caso disso, os nomes e códigos LEI de todas as entidades financeiras abrangidas pela notificação inicial, relatório intercalar ou relatório final agregados</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2025/301, art. 1.º, al. d)</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e) Os dados de contacto das pessoas responsáveis pela comunicação com a autoridade competente sobre o incidente de caráter severo relacionado com as TIC</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2025/301, art. 1.º, al. e)</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f) Se for caso disso, a identificação da empresa-mãe do grupo ao qual pertence a entidade financeira</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2025/301, art. 1.º, al. f)</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g) Em caso de impacto monetário, a divisa em que se baseiam os montantes</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2025/301, art. 1.º, al. g)</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bl>
    <w:p>
      <w:pPr>
        <w:pStyle w:val="Heading2"/>
      </w:pPr>
      <w:r>
        <w:rPr>
          <w:rFonts w:ascii="Calibri" w:cs="Calibri" w:eastAsia="Calibri" w:hAnsi="Calibri"/>
        </w:rPr>
        <w:t xml:space="preserve">Informações específicas (RTS 2025/301, art. 3.º)</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41"/>
        <w:gridCol w:w="1735"/>
        <w:gridCol w:w="3662"/>
      </w:tblGrid>
      <w:tr>
        <w:trPr>
          <w:tblHeader/>
        </w:trPr>
        <w:tc>
          <w:tcPr>
            <w:tcW w:type="dxa" w:w="4241"/>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Campo (redação do diploma)</w:t>
            </w:r>
          </w:p>
        </w:tc>
        <w:tc>
          <w:tcPr>
            <w:tcW w:type="dxa" w:w="1735"/>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Base legal</w:t>
            </w:r>
          </w:p>
        </w:tc>
        <w:tc>
          <w:tcPr>
            <w:tcW w:type="dxa" w:w="3662"/>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Preenchimento</w:t>
            </w: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 Se for caso disso, o código de referência do incidente fornecido pela autoridade competente</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2025/301, art. 3.º, al. a)</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b) A data e hora de ocorrência do incidente relacionado com as TIC</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2025/301, art. 3.º, al. b)</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c) Se for caso disso, a data e hora em que a entidade financeira retomou as suas atividades regulares</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2025/301, art. 3.º, al. c)</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d) Informações sobre como foram cumpridos os critérios estabelecidos nos artigos 1.º a 8.º do Regulamento Delegado (UE) 2024/1772, com base nos quais a entidade financeira classificou o incidente relacionado com as TIC como sendo de caráter severo</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2025/301, art. 3.º, al. d)</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e) O tipo de incidente relacionado com as TIC</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2025/301, art. 3.º, al. e)</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f) Se for caso disso, as ameaças e técnicas utilizadas pelo autor da ameaça</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2025/301, art. 3.º, al. f)</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g) Áreas funcionais e processos empresariais afetados</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2025/301, art. 3.º, al. g)</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h) Componentes afetados da infraestrutura de apoio aos processos operacionais</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2025/301, art. 3.º, al. h)</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i) Impacto nos interesses financeiros dos clientes</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2025/301, art. 3.º, al. i)</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j) Informações sobre a comunicação de incidentes relacionados com as TIC a outras autoridades</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2025/301, art. 3.º, al. j)</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k) Ações ou medidas temporárias tomadas ou previstas pela entidade financeira para recuperar do incidente relacionado com as TIC</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2025/301, art. 3.º, al. k)</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l) Se for caso disso, informações sobre os indicadores de exposição a riscos</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2025/301, art. 3.º, al. l)</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bl>
    <w:p>
      <w:pPr>
        <w:pStyle w:val="Heading1"/>
        <w:pageBreakBefore/>
      </w:pPr>
      <w:r>
        <w:rPr>
          <w:rFonts w:ascii="Calibri" w:cs="Calibri" w:eastAsia="Calibri" w:hAnsi="Calibri"/>
        </w:rPr>
        <w:t xml:space="preserve">D4 · Relatório final de incidente de caráter severo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Elemento</w:t>
            </w:r>
          </w:p>
        </w:tc>
        <w:tc>
          <w:tcPr>
            <w:tcW w:type="dxa" w:w="6747"/>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Indicação</w:t>
            </w:r>
          </w:p>
        </w:tc>
      </w:tr>
      <w:tr>
        <w:trPr>
          <w:cantSplit/>
        </w:trPr>
        <w:tc>
          <w:tcPr>
            <w:tcW w:type="dxa" w:w="289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Base legal</w:t>
            </w:r>
          </w:p>
        </w:tc>
        <w:tc>
          <w:tcPr>
            <w:tcW w:type="dxa" w:w="674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DORA, art. 19.º, n.º 4; RTS 2025/301, art. 4.º</w:t>
            </w:r>
          </w:p>
        </w:tc>
      </w:tr>
      <w:tr>
        <w:trPr>
          <w:cantSplit/>
        </w:trPr>
        <w:tc>
          <w:tcPr>
            <w:tcW w:type="dxa" w:w="289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Prazo</w:t>
            </w:r>
          </w:p>
        </w:tc>
        <w:tc>
          <w:tcPr>
            <w:tcW w:type="dxa" w:w="674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No máximo um mês após o relatório intercalar ou, se for o caso, após o último relatório intercalar atualizado (RTS 2025/301, art. 5.º, n.º 1, alínea c))</w:t>
            </w:r>
          </w:p>
        </w:tc>
      </w:tr>
      <w:tr>
        <w:trPr>
          <w:cantSplit/>
        </w:trPr>
        <w:tc>
          <w:tcPr>
            <w:tcW w:type="dxa" w:w="289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Fim de semana ou feriado</w:t>
            </w:r>
          </w:p>
        </w:tc>
        <w:tc>
          <w:tcPr>
            <w:tcW w:type="dxa" w:w="674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Pode ser enviado até ao meio-dia do dia útil seguinte (RTS 2025/301, art. 5.º, n.º 4)</w:t>
            </w:r>
          </w:p>
        </w:tc>
      </w:tr>
      <w:tr>
        <w:trPr>
          <w:cantSplit/>
        </w:trPr>
        <w:tc>
          <w:tcPr>
            <w:tcW w:type="dxa" w:w="289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Se não for possível cumprir o prazo</w:t>
            </w:r>
          </w:p>
        </w:tc>
        <w:tc>
          <w:tcPr>
            <w:tcW w:type="dxa" w:w="674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Informar a autoridade competente sem demora injustificada, o mais tardar no próprio prazo, explicando as razões (RTS 2025/301, art. 5.º, n.º 3)</w:t>
            </w:r>
          </w:p>
        </w:tc>
      </w:tr>
    </w:tbl>
    <w:p>
      <w:pPr>
        <w:spacing w:after="60"/>
      </w:pPr>
    </w:p>
    <w:p>
      <w:pPr>
        <w:pStyle w:val="Heading2"/>
      </w:pPr>
      <w:r>
        <w:rPr>
          <w:rFonts w:ascii="Calibri" w:cs="Calibri" w:eastAsia="Calibri" w:hAnsi="Calibri"/>
        </w:rPr>
        <w:t xml:space="preserve">Informações gerais (RTS 2025/301, art. 1.º)</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41"/>
        <w:gridCol w:w="1735"/>
        <w:gridCol w:w="3662"/>
      </w:tblGrid>
      <w:tr>
        <w:trPr>
          <w:tblHeader/>
        </w:trPr>
        <w:tc>
          <w:tcPr>
            <w:tcW w:type="dxa" w:w="4241"/>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Campo (redação do diploma)</w:t>
            </w:r>
          </w:p>
        </w:tc>
        <w:tc>
          <w:tcPr>
            <w:tcW w:type="dxa" w:w="1735"/>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Base legal</w:t>
            </w:r>
          </w:p>
        </w:tc>
        <w:tc>
          <w:tcPr>
            <w:tcW w:type="dxa" w:w="3662"/>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Preenchimento</w:t>
            </w: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 O tipo de apresentação (notificação inicial, relatório intercalar ou relatório final)</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2025/301, art. 1.º, al. a)</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b) O nome da entidade financeira, o seu código LEI e o tipo de entidade financeira, como referido no artigo 2.º, n.º 1, do Regulamento (UE) 2022/2554</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2025/301, art. 1.º, al. b)</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c) O nome e o código de identificação da entidade que apresenta a notificação inicial, o relatório intercalar ou o relatório final em nome da entidade financeira</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2025/301, art. 1.º, al. c)</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d) Se for caso disso, os nomes e códigos LEI de todas as entidades financeiras abrangidas pela notificação inicial, relatório intercalar ou relatório final agregados</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2025/301, art. 1.º, al. d)</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e) Os dados de contacto das pessoas responsáveis pela comunicação com a autoridade competente sobre o incidente de caráter severo relacionado com as TIC</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2025/301, art. 1.º, al. e)</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f) Se for caso disso, a identificação da empresa-mãe do grupo ao qual pertence a entidade financeira</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2025/301, art. 1.º, al. f)</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g) Em caso de impacto monetário, a divisa em que se baseiam os montantes</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2025/301, art. 1.º, al. g)</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bl>
    <w:p>
      <w:pPr>
        <w:pStyle w:val="Heading2"/>
      </w:pPr>
      <w:r>
        <w:rPr>
          <w:rFonts w:ascii="Calibri" w:cs="Calibri" w:eastAsia="Calibri" w:hAnsi="Calibri"/>
        </w:rPr>
        <w:t xml:space="preserve">Informações específicas (RTS 2025/301, art. 4.º)</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41"/>
        <w:gridCol w:w="1735"/>
        <w:gridCol w:w="3662"/>
      </w:tblGrid>
      <w:tr>
        <w:trPr>
          <w:tblHeader/>
        </w:trPr>
        <w:tc>
          <w:tcPr>
            <w:tcW w:type="dxa" w:w="4241"/>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Campo (redação do diploma)</w:t>
            </w:r>
          </w:p>
        </w:tc>
        <w:tc>
          <w:tcPr>
            <w:tcW w:type="dxa" w:w="1735"/>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Base legal</w:t>
            </w:r>
          </w:p>
        </w:tc>
        <w:tc>
          <w:tcPr>
            <w:tcW w:type="dxa" w:w="3662"/>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Preenchimento</w:t>
            </w: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 Informações sobre as causas profundas do incidente relacionado com as TIC</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2025/301, art. 4.º, al. a)</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b) Datas e horas em que o incidente relacionado com as TIC foi resolvido e em que foi (foram) abordada(s) a(s) causa(s) profunda(s)</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2025/301, art. 4.º, al. b)</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c) Informações sobre a resolução do incidente relacionado com as TIC</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2025/301, art. 4.º, al. c)</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d) Se for caso disso, informações pertinentes para as autoridades de resolução</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2025/301, art. 4.º, al. d)</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e) Informações sobre os custos e perdas diretos e indiretos decorrentes do incidente relacionado com as TIC e informações sobre recuperações financeiras</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2025/301, art. 4.º, al. e)</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f) Se for caso disso, informações sobre incidentes relacionados com as TIC de caráter recorrente</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2025/301, art. 4.º, al. f)</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bl>
    <w:p>
      <w:pPr>
        <w:pStyle w:val="Heading1"/>
        <w:pageBreakBefore/>
      </w:pPr>
      <w:r>
        <w:rPr>
          <w:rFonts w:ascii="Calibri" w:cs="Calibri" w:eastAsia="Calibri" w:hAnsi="Calibri"/>
        </w:rPr>
        <w:t xml:space="preserve">D5 · Notificação voluntária de ciberameaça significativa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Elemento</w:t>
            </w:r>
          </w:p>
        </w:tc>
        <w:tc>
          <w:tcPr>
            <w:tcW w:type="dxa" w:w="6747"/>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Indicação</w:t>
            </w:r>
          </w:p>
        </w:tc>
      </w:tr>
      <w:tr>
        <w:trPr>
          <w:cantSplit/>
        </w:trPr>
        <w:tc>
          <w:tcPr>
            <w:tcW w:type="dxa" w:w="289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Base legal</w:t>
            </w:r>
          </w:p>
        </w:tc>
        <w:tc>
          <w:tcPr>
            <w:tcW w:type="dxa" w:w="674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DORA, art. 19.º, n.º 2; RTS 2025/301, art. 6.º</w:t>
            </w:r>
          </w:p>
        </w:tc>
      </w:tr>
      <w:tr>
        <w:trPr>
          <w:cantSplit/>
        </w:trPr>
        <w:tc>
          <w:tcPr>
            <w:tcW w:type="dxa" w:w="289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Natureza</w:t>
            </w:r>
          </w:p>
        </w:tc>
        <w:tc>
          <w:tcPr>
            <w:tcW w:type="dxa" w:w="674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Voluntária</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41"/>
        <w:gridCol w:w="1735"/>
        <w:gridCol w:w="3662"/>
      </w:tblGrid>
      <w:tr>
        <w:trPr>
          <w:tblHeader/>
        </w:trPr>
        <w:tc>
          <w:tcPr>
            <w:tcW w:type="dxa" w:w="4241"/>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Campo (redação do diploma)</w:t>
            </w:r>
          </w:p>
        </w:tc>
        <w:tc>
          <w:tcPr>
            <w:tcW w:type="dxa" w:w="1735"/>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Base legal</w:t>
            </w:r>
          </w:p>
        </w:tc>
        <w:tc>
          <w:tcPr>
            <w:tcW w:type="dxa" w:w="3662"/>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Preenchimento</w:t>
            </w: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 Informações gerais sobre a entidade financeira que apresenta a notificação, conforme previsto no artigo 1.º</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2025/301, art. 6.º, al. a)</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b) A data e hora da deteção da ciberameaça significativa e quaisquer outros carimbos temporais pertinentes relacionados com a ciberameaça significativa</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2025/301, art. 6.º, al. b)</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c) Uma descrição da ciberameaça significativa</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2025/301, art. 6.º, al. c)</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d) Informação sobre o potencial impacto da ciberameaça significativa na entidade financeira, nos seus clientes ou em contrapartes financeiras</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2025/301, art. 6.º, al. d)</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e) Os critérios de classificação que teriam desencadeado um relatório de incidente de caráter severo previsto nos artigos 1.º a 8.º do Regulamento Delegado (UE) 2024/1772 se a ciberameaça se tivesse materializado</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2025/301, art. 6.º, al. e)</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f) Informações sobre o estado da ciberameaça significativa e quaisquer alterações na atividade de ameaça</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2025/301, art. 6.º, al. f)</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g) Se for caso disso, uma descrição das medidas tomadas pela entidade financeira para impedir a materialização das ciberameaças significativas</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2025/301, art. 6.º, al. g)</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h) Informações sobre qualquer notificação da ciberameaça significativa a outras entidades financeiras ou autoridades</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2025/301, art. 6.º, al. h)</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i) Se for caso disso, informações sobre os indicadores de exposição a riscos</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2025/301, art. 6.º, al. i)</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j) Se disponíveis, quaisquer outras informações pertinentes</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2025/301, art. 6.º, al. j)</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bl>
    <w:p>
      <w:pPr>
        <w:pStyle w:val="Heading1"/>
        <w:pageBreakBefore/>
      </w:pPr>
      <w:r>
        <w:rPr>
          <w:rFonts w:ascii="Calibri" w:cs="Calibri" w:eastAsia="Calibri" w:hAnsi="Calibri"/>
        </w:rPr>
        <w:t xml:space="preserve">D6 · Quadro de gestão do risco associado às TIC: índice de políticas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Elemento</w:t>
            </w:r>
          </w:p>
        </w:tc>
        <w:tc>
          <w:tcPr>
            <w:tcW w:type="dxa" w:w="6747"/>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Indicação</w:t>
            </w:r>
          </w:p>
        </w:tc>
      </w:tr>
      <w:tr>
        <w:trPr>
          <w:cantSplit/>
        </w:trPr>
        <w:tc>
          <w:tcPr>
            <w:tcW w:type="dxa" w:w="289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Base legal</w:t>
            </w:r>
          </w:p>
        </w:tc>
        <w:tc>
          <w:tcPr>
            <w:tcW w:type="dxa" w:w="674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DORA, arts. 5.º a 16.º; RTS 2024/1774</w:t>
            </w:r>
          </w:p>
        </w:tc>
      </w:tr>
      <w:tr>
        <w:trPr>
          <w:cantSplit/>
        </w:trPr>
        <w:tc>
          <w:tcPr>
            <w:tcW w:type="dxa" w:w="289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Uso</w:t>
            </w:r>
          </w:p>
        </w:tc>
        <w:tc>
          <w:tcPr>
            <w:tcW w:type="dxa" w:w="674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Lista de verificação das políticas, procedimentos e protocolos exigidos pelo RTS 2024/1774. Indique o documento e a data de aprovação</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4048"/>
        <w:gridCol w:w="2313"/>
        <w:gridCol w:w="1157"/>
      </w:tblGrid>
      <w:tr>
        <w:trPr>
          <w:tblHeader/>
        </w:trPr>
        <w:tc>
          <w:tcPr>
            <w:tcW w:type="dxa" w:w="2120"/>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Artigo do RTS 2024/1774</w:t>
            </w:r>
          </w:p>
        </w:tc>
        <w:tc>
          <w:tcPr>
            <w:tcW w:type="dxa" w:w="4048"/>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Tema</w:t>
            </w:r>
          </w:p>
        </w:tc>
        <w:tc>
          <w:tcPr>
            <w:tcW w:type="dxa" w:w="2313"/>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Documento da entidade</w:t>
            </w:r>
          </w:p>
        </w:tc>
        <w:tc>
          <w:tcPr>
            <w:tcW w:type="dxa" w:w="1157"/>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Aprovado em</w:t>
            </w:r>
          </w:p>
        </w:tc>
      </w:tr>
      <w:tr>
        <w:trPr>
          <w:cantSplit/>
        </w:trPr>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2024/1774, art. 2.º</w:t>
            </w:r>
          </w:p>
        </w:tc>
        <w:tc>
          <w:tcPr>
            <w:tcW w:type="dxa" w:w="4048"/>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Elementos gerais das políticas, procedimentos, protocolos e ferramentas de segurança no domínio das TIC</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15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2024/1774, art. 3.º</w:t>
            </w:r>
          </w:p>
        </w:tc>
        <w:tc>
          <w:tcPr>
            <w:tcW w:type="dxa" w:w="4048"/>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Gestão do risco associado às TIC</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15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2024/1774, art. 4.º</w:t>
            </w:r>
          </w:p>
        </w:tc>
        <w:tc>
          <w:tcPr>
            <w:tcW w:type="dxa" w:w="4048"/>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Política de gestão dos ativos de TIC</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15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2024/1774, art. 5.º</w:t>
            </w:r>
          </w:p>
        </w:tc>
        <w:tc>
          <w:tcPr>
            <w:tcW w:type="dxa" w:w="4048"/>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Procedimento de gestão dos ativos de TIC</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15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2024/1774, art. 6.º</w:t>
            </w:r>
          </w:p>
        </w:tc>
        <w:tc>
          <w:tcPr>
            <w:tcW w:type="dxa" w:w="4048"/>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Encriptação e controlos criptográficos</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15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2024/1774, art. 7.º</w:t>
            </w:r>
          </w:p>
        </w:tc>
        <w:tc>
          <w:tcPr>
            <w:tcW w:type="dxa" w:w="4048"/>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Gestão das chaves criptográficas</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15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2024/1774, art. 8.º</w:t>
            </w:r>
          </w:p>
        </w:tc>
        <w:tc>
          <w:tcPr>
            <w:tcW w:type="dxa" w:w="4048"/>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Políticas e procedimentos ao nível do funcionamento das TIC</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15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2024/1774, art. 9.º</w:t>
            </w:r>
          </w:p>
        </w:tc>
        <w:tc>
          <w:tcPr>
            <w:tcW w:type="dxa" w:w="4048"/>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Gestão da capacidade e do desempenho</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15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2024/1774, art. 10.º</w:t>
            </w:r>
          </w:p>
        </w:tc>
        <w:tc>
          <w:tcPr>
            <w:tcW w:type="dxa" w:w="4048"/>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Gestão das vulnerabilidades e correções informáticas</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15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2024/1774, art. 11.º</w:t>
            </w:r>
          </w:p>
        </w:tc>
        <w:tc>
          <w:tcPr>
            <w:tcW w:type="dxa" w:w="4048"/>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Segurança dos dados e do sistema</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15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2024/1774, art. 12.º</w:t>
            </w:r>
          </w:p>
        </w:tc>
        <w:tc>
          <w:tcPr>
            <w:tcW w:type="dxa" w:w="4048"/>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Registos</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15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2024/1774, art. 13.º</w:t>
            </w:r>
          </w:p>
        </w:tc>
        <w:tc>
          <w:tcPr>
            <w:tcW w:type="dxa" w:w="4048"/>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Gestão da segurança das redes</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15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2024/1774, art. 14.º</w:t>
            </w:r>
          </w:p>
        </w:tc>
        <w:tc>
          <w:tcPr>
            <w:tcW w:type="dxa" w:w="4048"/>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Garantir a segurança das informações em trânsito</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15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2024/1774, art. 15.º</w:t>
            </w:r>
          </w:p>
        </w:tc>
        <w:tc>
          <w:tcPr>
            <w:tcW w:type="dxa" w:w="4048"/>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Gestão dos projetos de TIC</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15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2024/1774, art. 16.º</w:t>
            </w:r>
          </w:p>
        </w:tc>
        <w:tc>
          <w:tcPr>
            <w:tcW w:type="dxa" w:w="4048"/>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Aquisição, desenvolvimento e manutenção dos sistemas de TIC</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15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2024/1774, art. 17.º</w:t>
            </w:r>
          </w:p>
        </w:tc>
        <w:tc>
          <w:tcPr>
            <w:tcW w:type="dxa" w:w="4048"/>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Gestão das alterações das TIC</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15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2024/1774, art. 18.º</w:t>
            </w:r>
          </w:p>
        </w:tc>
        <w:tc>
          <w:tcPr>
            <w:tcW w:type="dxa" w:w="4048"/>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Segurança física e ambiental</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15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2024/1774, art. 19.º</w:t>
            </w:r>
          </w:p>
        </w:tc>
        <w:tc>
          <w:tcPr>
            <w:tcW w:type="dxa" w:w="4048"/>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Política de recursos humanos</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15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2024/1774, art. 20.º</w:t>
            </w:r>
          </w:p>
        </w:tc>
        <w:tc>
          <w:tcPr>
            <w:tcW w:type="dxa" w:w="4048"/>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Gestão da identidade</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15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2024/1774, art. 21.º</w:t>
            </w:r>
          </w:p>
        </w:tc>
        <w:tc>
          <w:tcPr>
            <w:tcW w:type="dxa" w:w="4048"/>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Controlo do acesso</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15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2024/1774, art. 22.º</w:t>
            </w:r>
          </w:p>
        </w:tc>
        <w:tc>
          <w:tcPr>
            <w:tcW w:type="dxa" w:w="4048"/>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Política de gestão de incidentes relacionados com as TIC</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15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2024/1774, art. 23.º</w:t>
            </w:r>
          </w:p>
        </w:tc>
        <w:tc>
          <w:tcPr>
            <w:tcW w:type="dxa" w:w="4048"/>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Deteção de atividades anómalas e critérios para a deteção e resposta a incidentes relacionados com as TIC</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15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2024/1774, art. 24.º</w:t>
            </w:r>
          </w:p>
        </w:tc>
        <w:tc>
          <w:tcPr>
            <w:tcW w:type="dxa" w:w="4048"/>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Componentes da política de continuidade das atividades no domínio das TIC</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15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2024/1774, art. 25.º</w:t>
            </w:r>
          </w:p>
        </w:tc>
        <w:tc>
          <w:tcPr>
            <w:tcW w:type="dxa" w:w="4048"/>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Testes dos planos de continuidade das atividades no domínio das TIC</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15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2024/1774, art. 26.º</w:t>
            </w:r>
          </w:p>
        </w:tc>
        <w:tc>
          <w:tcPr>
            <w:tcW w:type="dxa" w:w="4048"/>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Planos de resposta e recuperação no domínio das TIC</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15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2024/1774, art. 27.º</w:t>
            </w:r>
          </w:p>
        </w:tc>
        <w:tc>
          <w:tcPr>
            <w:tcW w:type="dxa" w:w="4048"/>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Formato e conteúdo do relatório sobre a revisão do quadro de gestão do risco associado às TIC</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15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2024/1774, art. 28.º</w:t>
            </w:r>
          </w:p>
        </w:tc>
        <w:tc>
          <w:tcPr>
            <w:tcW w:type="dxa" w:w="4048"/>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Governação e organização</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15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2024/1774, art. 29.º</w:t>
            </w:r>
          </w:p>
        </w:tc>
        <w:tc>
          <w:tcPr>
            <w:tcW w:type="dxa" w:w="4048"/>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Política e medidas de segurança das informações</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15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2024/1774, art. 30.º</w:t>
            </w:r>
          </w:p>
        </w:tc>
        <w:tc>
          <w:tcPr>
            <w:tcW w:type="dxa" w:w="4048"/>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Classificação dos ativos de informação e dos ativos de TIC</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15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2024/1774, art. 31.º</w:t>
            </w:r>
          </w:p>
        </w:tc>
        <w:tc>
          <w:tcPr>
            <w:tcW w:type="dxa" w:w="4048"/>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Gestão do risco associado às TIC</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15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2024/1774, art. 32.º</w:t>
            </w:r>
          </w:p>
        </w:tc>
        <w:tc>
          <w:tcPr>
            <w:tcW w:type="dxa" w:w="4048"/>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Segurança física e ambiental</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15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2024/1774, art. 33.º</w:t>
            </w:r>
          </w:p>
        </w:tc>
        <w:tc>
          <w:tcPr>
            <w:tcW w:type="dxa" w:w="4048"/>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Controlo do acesso</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15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2024/1774, art. 34.º</w:t>
            </w:r>
          </w:p>
        </w:tc>
        <w:tc>
          <w:tcPr>
            <w:tcW w:type="dxa" w:w="4048"/>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Segurança das operações de TIC</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15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2024/1774, art. 35.º</w:t>
            </w:r>
          </w:p>
        </w:tc>
        <w:tc>
          <w:tcPr>
            <w:tcW w:type="dxa" w:w="4048"/>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Segurança dos dados, dos sistemas e das redes</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15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2024/1774, art. 36.º</w:t>
            </w:r>
          </w:p>
        </w:tc>
        <w:tc>
          <w:tcPr>
            <w:tcW w:type="dxa" w:w="4048"/>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Testes de segurança das TIC</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15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2024/1774, art. 37.º</w:t>
            </w:r>
          </w:p>
        </w:tc>
        <w:tc>
          <w:tcPr>
            <w:tcW w:type="dxa" w:w="4048"/>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Aquisição, desenvolvimento e manutenção dos sistemas de TIC</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15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2024/1774, art. 38.º</w:t>
            </w:r>
          </w:p>
        </w:tc>
        <w:tc>
          <w:tcPr>
            <w:tcW w:type="dxa" w:w="4048"/>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Gestão das alterações e projetos de TIC</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15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2024/1774, art. 39.º</w:t>
            </w:r>
          </w:p>
        </w:tc>
        <w:tc>
          <w:tcPr>
            <w:tcW w:type="dxa" w:w="4048"/>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Componentes da política de continuidade das atividades no domínio das TIC</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15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2024/1774, art. 40.º</w:t>
            </w:r>
          </w:p>
        </w:tc>
        <w:tc>
          <w:tcPr>
            <w:tcW w:type="dxa" w:w="4048"/>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Testes dos planos de continuidade das atividades</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15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2024/1774, art. 41.º</w:t>
            </w:r>
          </w:p>
        </w:tc>
        <w:tc>
          <w:tcPr>
            <w:tcW w:type="dxa" w:w="4048"/>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Formato e conteúdo do relatório sobre a revisão do quadro simplificado de gestão do risco associado às TIC</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15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bl>
    <w:p>
      <w:pPr>
        <w:pStyle w:val="Heading1"/>
        <w:pageBreakBefore/>
      </w:pPr>
      <w:r>
        <w:rPr>
          <w:rFonts w:ascii="Calibri" w:cs="Calibri" w:eastAsia="Calibri" w:hAnsi="Calibri"/>
        </w:rPr>
        <w:t xml:space="preserve">D7 · Registo de informação sobre acordos com terceiros prestadores de TIC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Elemento</w:t>
            </w:r>
          </w:p>
        </w:tc>
        <w:tc>
          <w:tcPr>
            <w:tcW w:type="dxa" w:w="6747"/>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Indicação</w:t>
            </w:r>
          </w:p>
        </w:tc>
      </w:tr>
      <w:tr>
        <w:trPr>
          <w:cantSplit/>
        </w:trPr>
        <w:tc>
          <w:tcPr>
            <w:tcW w:type="dxa" w:w="289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Base legal</w:t>
            </w:r>
          </w:p>
        </w:tc>
        <w:tc>
          <w:tcPr>
            <w:tcW w:type="dxa" w:w="674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DORA, art. 28.º, n.º 3; ITS 2024/2956</w:t>
            </w:r>
          </w:p>
        </w:tc>
      </w:tr>
      <w:tr>
        <w:trPr>
          <w:cantSplit/>
        </w:trPr>
        <w:tc>
          <w:tcPr>
            <w:tcW w:type="dxa" w:w="289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Formato</w:t>
            </w:r>
          </w:p>
        </w:tc>
        <w:tc>
          <w:tcPr>
            <w:tcW w:type="dxa" w:w="674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O registo é enviado no formato técnico definido pelas autoridades de supervisão. A lista abaixo serve para organizar a recolha por modelo</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2699"/>
        <w:gridCol w:w="4433"/>
        <w:gridCol w:w="1542"/>
      </w:tblGrid>
      <w:tr>
        <w:trPr>
          <w:tblHeader/>
        </w:trPr>
        <w:tc>
          <w:tcPr>
            <w:tcW w:type="dxa" w:w="964"/>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Modelo</w:t>
            </w:r>
          </w:p>
        </w:tc>
        <w:tc>
          <w:tcPr>
            <w:tcW w:type="dxa" w:w="2699"/>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Nome</w:t>
            </w:r>
          </w:p>
        </w:tc>
        <w:tc>
          <w:tcPr>
            <w:tcW w:type="dxa" w:w="4433"/>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O que identifica</w:t>
            </w:r>
          </w:p>
        </w:tc>
        <w:tc>
          <w:tcPr>
            <w:tcW w:type="dxa" w:w="1542"/>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Responsável</w:t>
            </w:r>
          </w:p>
        </w:tc>
      </w:tr>
      <w:tr>
        <w:trPr>
          <w:cantSplit/>
        </w:trPr>
        <w:tc>
          <w:tcPr>
            <w:tcW w:type="dxa" w:w="964"/>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B_01.01</w:t>
            </w:r>
          </w:p>
        </w:tc>
        <w:tc>
          <w:tcPr>
            <w:tcW w:type="dxa" w:w="2699"/>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Entidade que mantém o registo de informações</w:t>
            </w:r>
          </w:p>
        </w:tc>
        <w:tc>
          <w:tcPr>
            <w:tcW w:type="dxa" w:w="443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Este modelo identifica a entidade que mantém e atualiza o registo de informações a nível da entidade, subconsolidado e consolidado, respetivamente.</w:t>
            </w:r>
          </w:p>
        </w:tc>
        <w:tc>
          <w:tcPr>
            <w:tcW w:type="dxa" w:w="154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964"/>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B_01.02</w:t>
            </w:r>
          </w:p>
        </w:tc>
        <w:tc>
          <w:tcPr>
            <w:tcW w:type="dxa" w:w="2699"/>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Lista de entidades abrangidas pelo perímetro de consolidação</w:t>
            </w:r>
          </w:p>
        </w:tc>
        <w:tc>
          <w:tcPr>
            <w:tcW w:type="dxa" w:w="443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Este modelo identifica todas as entidades pertencentes ao grupo. Se a entidade financeira responsável pela manutenção e atualização do registo de informações não pertencer a um grupo, apenas devem ser comunicadas neste modelo informações relativas a essa entidade.</w:t>
            </w:r>
          </w:p>
        </w:tc>
        <w:tc>
          <w:tcPr>
            <w:tcW w:type="dxa" w:w="154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964"/>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B_01.03</w:t>
            </w:r>
          </w:p>
        </w:tc>
        <w:tc>
          <w:tcPr>
            <w:tcW w:type="dxa" w:w="2699"/>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Lista de sucursais</w:t>
            </w:r>
          </w:p>
        </w:tc>
        <w:tc>
          <w:tcPr>
            <w:tcW w:type="dxa" w:w="443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Este modelo identifica as sucursais das entidades financeiras referidas no modelo B_01.02.</w:t>
            </w:r>
          </w:p>
        </w:tc>
        <w:tc>
          <w:tcPr>
            <w:tcW w:type="dxa" w:w="154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964"/>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B_02.01</w:t>
            </w:r>
          </w:p>
        </w:tc>
        <w:tc>
          <w:tcPr>
            <w:tcW w:type="dxa" w:w="2699"/>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Acordos contratuais — informações gerais</w:t>
            </w:r>
          </w:p>
        </w:tc>
        <w:tc>
          <w:tcPr>
            <w:tcW w:type="dxa" w:w="443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Este modelo enumera todos os acordos contratuais com terceiros prestadores diretos de serviços de TIC. Para cada acordo contratual com um terceiro prestador direto de serviços de TIC, a entidade financeira que mantém o registo de informações atribui um «número de referência do acordo contratual» único, a fim de identificar inequivocamente o próprio acordo contratual.</w:t>
            </w:r>
          </w:p>
        </w:tc>
        <w:tc>
          <w:tcPr>
            <w:tcW w:type="dxa" w:w="154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964"/>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B_02.02</w:t>
            </w:r>
          </w:p>
        </w:tc>
        <w:tc>
          <w:tcPr>
            <w:tcW w:type="dxa" w:w="2699"/>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Acordos contratuais — informações específicas</w:t>
            </w:r>
          </w:p>
        </w:tc>
        <w:tc>
          <w:tcPr>
            <w:tcW w:type="dxa" w:w="443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Este modelo fornece pormenores relativos a cada acordo contratual enumerado no modelo B_02.01 no que diz respeito: a) Aos serviços de TIC incluídos no âmbito do acordo contratual; b) Às funções das entidades financeiras apoiadas por esses serviços de TIC; c) A outras informações importantes no que toca aos serviços específicos de TIC prestados (por exemplo, período de pré-aviso, direito que rege o acordo, etc.).</w:t>
            </w:r>
          </w:p>
        </w:tc>
        <w:tc>
          <w:tcPr>
            <w:tcW w:type="dxa" w:w="154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964"/>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B_02.03</w:t>
            </w:r>
          </w:p>
        </w:tc>
        <w:tc>
          <w:tcPr>
            <w:tcW w:type="dxa" w:w="2699"/>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Lista dos acordos contratuais intragrupo</w:t>
            </w:r>
          </w:p>
        </w:tc>
        <w:tc>
          <w:tcPr>
            <w:tcW w:type="dxa" w:w="443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Este modelo identifica as ligações entre os acordos contratuais intragrupo e os acordos contratuais com terceiros prestadores de serviços de TIC que não fazem parte do grupo, recorrendo aos números de referência dos acordos contratuais quando parte da cadeia de fornecimento de serviços de TIC é intragrupo.</w:t>
            </w:r>
          </w:p>
        </w:tc>
        <w:tc>
          <w:tcPr>
            <w:tcW w:type="dxa" w:w="154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964"/>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B_03.01</w:t>
            </w:r>
          </w:p>
        </w:tc>
        <w:tc>
          <w:tcPr>
            <w:tcW w:type="dxa" w:w="2699"/>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Entidades que celebram os acordos contratuais para a receção de um ou mais serviços de TIC ou em nome das entidades que utilizam o(s) serviço(s) de TIC</w:t>
            </w:r>
          </w:p>
        </w:tc>
        <w:tc>
          <w:tcPr>
            <w:tcW w:type="dxa" w:w="443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Este modelo fornece informações sobre a entidade que celebra os acordos contratuais com o terceiro prestador direto de serviços de TIC em nome da entidade que utiliza os serviços de TIC. Se o registo de informações for mantido e atualizado a nível da entidade, a entidade financeira que mantém e atualiza o registo de informações é a entidade que celebra o acordo contratual e que utiliza os serviços de TIC. No contexto da subconsolidação e da consolidação, a entidade financeira que utiliza os serviços de TIC prestados não é necessariamente a entidade que celebra o acordo contratual com os terceiros prestadores de serviços de TIC.</w:t>
            </w:r>
          </w:p>
        </w:tc>
        <w:tc>
          <w:tcPr>
            <w:tcW w:type="dxa" w:w="154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964"/>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B_03.02</w:t>
            </w:r>
          </w:p>
        </w:tc>
        <w:tc>
          <w:tcPr>
            <w:tcW w:type="dxa" w:w="2699"/>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Terceiros prestadores de serviços de TIC que celebram os acordos contratuais para a prestação do(s) serviço(s) de TIC</w:t>
            </w:r>
          </w:p>
        </w:tc>
        <w:tc>
          <w:tcPr>
            <w:tcW w:type="dxa" w:w="443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Este modelo identifica todos os terceiros prestadores de serviços de TIC referidos no modelo B_05.01 que celebram os acordos contratuais referidos no modelo B_02.01 para a prestação dos serviços de TIC.</w:t>
            </w:r>
          </w:p>
        </w:tc>
        <w:tc>
          <w:tcPr>
            <w:tcW w:type="dxa" w:w="154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964"/>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B_03.03</w:t>
            </w:r>
          </w:p>
        </w:tc>
        <w:tc>
          <w:tcPr>
            <w:tcW w:type="dxa" w:w="2699"/>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Entidades que celebram os acordos contratuais para a prestação de serviços de TIC a outras entidades abrangidas pelo perímetro de consolidação</w:t>
            </w:r>
          </w:p>
        </w:tc>
        <w:tc>
          <w:tcPr>
            <w:tcW w:type="dxa" w:w="443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Este modelo identifica todas as entidades referidas no modelo B_01.02 que celebram os acordos contratuais referidos no modelo B_02.01 para a prestação dos serviços de TIC a outras entidades abrangidas pela consolidação.</w:t>
            </w:r>
          </w:p>
        </w:tc>
        <w:tc>
          <w:tcPr>
            <w:tcW w:type="dxa" w:w="154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964"/>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B_04.01</w:t>
            </w:r>
          </w:p>
        </w:tc>
        <w:tc>
          <w:tcPr>
            <w:tcW w:type="dxa" w:w="2699"/>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Entidades que utilizam os serviços de TIC</w:t>
            </w:r>
          </w:p>
        </w:tc>
        <w:tc>
          <w:tcPr>
            <w:tcW w:type="dxa" w:w="443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Este modelo identifica todas as entidades que utilizam os serviços de TIC prestados por terceiros prestadores de serviços de TIC e que estejam registadas no registo de informações. As entidades que utilizam os serviços de TIC devem ser as autoridades financeiras abrangidas pelo regulamento ou, em alternativa, os prestadores de serviços de TIC intragrupo. Se o registo de informações for mantido e atualizado a nível da entidade, a entidade financeira que mantém o registo é a entidade que celebra o acordo contratual e que utiliza os serviços de TIC.</w:t>
            </w:r>
          </w:p>
        </w:tc>
        <w:tc>
          <w:tcPr>
            <w:tcW w:type="dxa" w:w="154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964"/>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B_05.01</w:t>
            </w:r>
          </w:p>
        </w:tc>
        <w:tc>
          <w:tcPr>
            <w:tcW w:type="dxa" w:w="2699"/>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Terceiros prestadores de serviços de TIC</w:t>
            </w:r>
          </w:p>
        </w:tc>
        <w:tc>
          <w:tcPr>
            <w:tcW w:type="dxa" w:w="443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Este modelo fornece informações gerais para identificar: a) Os terceiros prestadores diretos de serviços de TIC; b) Os prestadores de serviços de TIC intragrupo; c) Todos os subcontratantes incluídos no modelo B_05.02 relativo à cadeia de fornecimento de serviços de TIC; d) A empresa-mãe em última instância dos terceiros prestadores de serviços de TIC enumerados nas alíneas a), b) e c).</w:t>
            </w:r>
          </w:p>
        </w:tc>
        <w:tc>
          <w:tcPr>
            <w:tcW w:type="dxa" w:w="154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964"/>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B_05.02</w:t>
            </w:r>
          </w:p>
        </w:tc>
        <w:tc>
          <w:tcPr>
            <w:tcW w:type="dxa" w:w="2699"/>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Cadeia de fornecimento de serviços de TIC</w:t>
            </w:r>
          </w:p>
        </w:tc>
        <w:tc>
          <w:tcPr>
            <w:tcW w:type="dxa" w:w="443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Este modelo identifica e liga os terceiros prestadores de serviços de TIC que fazem parte da mesma cadeia de fornecimento de serviços de TIC. As entidades financeiras devem identificar e atribuir uma classificação aos terceiros prestadores de serviços de TIC para cada um dos serviços de TIC incluídos em cada acordo contratual. Exemplo: uma entidade financeira tem um acordo contratual com um terceiro prestador de serviços de TIC («terceiro prestador de serviços de TIC X») para receber dois serviços específicos de TIC («serviço de TIC A» e «serviço de TIC B») e o prestador de serviços recorre a um subcontratante («terceiro prestador de serviços de TIC Y») para prestar um desses serviços («serviço de TIC B»). — No que se refere ao serviço de TIC A, a cadeia de fornecimento de serviços de TIC é composta por um terceiro prestador de serviços de TIC, o terceiro prestador de serviços de TIC X, que será classificado no modelo com o número 1. O terceiro prestador de serviços de TIC X é o terceiro prestador direto de serviços de TIC. — No que se refere ao serviço de TIC B, a cadeia de fornecimento de serviços de TIC é composta por dois terceiros prestadores de serviços de TIC: a) O terceiro prestador de serviços de TIC X, que será classificado no modelo com o número 1. O terceiro prestador de serviços de TIC X é o terceiro prestador direto de serviços de TIC. b) O terceiro prestador de serviços de TIC Y, que será classificado no modelo com o número 2. O terceiro prestador de serviços de TIC Y é um subcontratante. Todos os terceiros prestadores de serviços de TIC pertencentes à mesma cadeia de fornecimento de serviços de TIC partilham o mesmo «número de referência do acordo contratual», como referido no modelo B_02.01, e o mesmo tipo de serviços de TIC</w:t>
            </w:r>
          </w:p>
        </w:tc>
        <w:tc>
          <w:tcPr>
            <w:tcW w:type="dxa" w:w="154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964"/>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B_06.01</w:t>
            </w:r>
          </w:p>
        </w:tc>
        <w:tc>
          <w:tcPr>
            <w:tcW w:type="dxa" w:w="2699"/>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Identificação das funções</w:t>
            </w:r>
          </w:p>
        </w:tc>
        <w:tc>
          <w:tcPr>
            <w:tcW w:type="dxa" w:w="443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Este modelo identifica e fornece informações sobre as funções da entidade financeira que utiliza os serviços de TIC. Nas informações a fornecer neste modelo, as entidades financeiras devem incluir um identificador único, o «identificador de função» para cada combinação de LEI, atividade licenciada e função da entidade financeira. Exemplo: a uma entidade financeira (LEI: 21USLEIC20231109J3Z8) que opera ao abrigo de duas atividades licenciadas («atividade A» e «atividade B») serão atribuídos dois «identificadores de função» únicos para a mesma função X (por exemplo, vendas) realizada para a atividade A e a atividade B, respetivamente. O identificador de função será: F1 para a combinação «21USLEIC20231109J3Z8», «Atividade A» e «Função X» F2 para a combinação «21USLEIC20231109J3Z8», «Atividade B» e «Função X»</w:t>
            </w:r>
          </w:p>
        </w:tc>
        <w:tc>
          <w:tcPr>
            <w:tcW w:type="dxa" w:w="154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964"/>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B_07.01</w:t>
            </w:r>
          </w:p>
        </w:tc>
        <w:tc>
          <w:tcPr>
            <w:tcW w:type="dxa" w:w="2699"/>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Avaliações dos serviços de TIC</w:t>
            </w:r>
          </w:p>
        </w:tc>
        <w:tc>
          <w:tcPr>
            <w:tcW w:type="dxa" w:w="443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Este modelo capta informações relativas à avaliação dos riscos dos serviços de TIC (por exemplo, substituibilidade, data da última auditoria, etc.), nos casos em esses serviços de TIC apoiam uma função crítica ou importante ou parte material da mesma.</w:t>
            </w:r>
          </w:p>
        </w:tc>
        <w:tc>
          <w:tcPr>
            <w:tcW w:type="dxa" w:w="154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964"/>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B_99.01</w:t>
            </w:r>
          </w:p>
        </w:tc>
        <w:tc>
          <w:tcPr>
            <w:tcW w:type="dxa" w:w="2699"/>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Definições das entidades que utilizam os serviços de TIC</w:t>
            </w:r>
          </w:p>
        </w:tc>
        <w:tc>
          <w:tcPr>
            <w:tcW w:type="dxa" w:w="443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Este modelo capta explicações, significados e definições internos da entidade no que toca ao conjunto fechado de indicadores utilizados pela entidade financeira no registo de informações. Exemplo: No modelo B_07.01, a entidade financeira deve fornecer uma indicação do impacto da interrupção dos serviços de TIC, utilizando um conjunto fechado de opções (baixo, médio ou elevado). No modelo B_99.01, a entidade financeira deve especificar o significado dessas opções.</w:t>
            </w:r>
          </w:p>
        </w:tc>
        <w:tc>
          <w:tcPr>
            <w:tcW w:type="dxa" w:w="154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bl>
    <w:sectPr>
      <w:headerReference w:type="default" r:id="rId6"/>
      <w:footerReference w:type="default" r:id="rId7"/>
      <w:pgSz w:w="11906" w:h="16838" w:orient="portrait"/>
      <w:pgMar w:top="1300"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B6474"/>
        <w:sz w:val="16"/>
        <w:szCs w:val="16"/>
      </w:rPr>
      <w:t xml:space="preserve">Página </w:t>
    </w:r>
    <w:r>
      <w:rPr>
        <w:rFonts w:ascii="Calibri" w:cs="Calibri" w:eastAsia="Calibri" w:hAnsi="Calibri"/>
        <w:color w:val="5B647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E7" w:sz="4" w:space="6"/>
      </w:pBdr>
    </w:pPr>
    <w:r>
      <w:drawing>
        <wp:inline distT="0" distB="0" distL="0" distR="0">
          <wp:extent cx="1047750" cy="23812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47750" cy="238125"/>
                  </a:xfrm>
                  <a:prstGeom prst="rect">
                    <a:avLst/>
                  </a:prstGeom>
                </pic:spPr>
              </pic:pic>
            </a:graphicData>
          </a:graphic>
        </wp:inline>
      </w:drawing>
    </w:r>
    <w:r>
      <w:rPr>
        <w:rFonts w:ascii="Calibri" w:cs="Calibri" w:eastAsia="Calibri" w:hAnsi="Calibri"/>
        <w:color w:val="5B6474"/>
        <w:sz w:val="16"/>
        <w:szCs w:val="16"/>
      </w:rPr>
      <w:t xml:space="preserve">     Modelos DORA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abstractNum w:abstractNumId="4" w15:restartNumberingAfterBreak="0">
    <w:multiLevelType w:val="hybridMultilevel"/>
    <w:lvl w:ilvl="0" w:tentative="1">
      <w:start w:val="1"/>
      <w:numFmt w:val="decimal"/>
      <w:lvlText w:val="%1."/>
      <w:lvlJc w:val="left"/>
      <w:pPr>
        <w:ind w:left="540" w:hanging="300"/>
      </w:pPr>
    </w:lvl>
  </w:abstractNum>
  <w:abstractNum w:abstractNumId="5" w15:restartNumberingAfterBreak="0">
    <w:multiLevelType w:val="hybridMultilevel"/>
    <w:lvl w:ilvl="0" w:tentative="1">
      <w:start w:val="1"/>
      <w:numFmt w:val="decimal"/>
      <w:lvlText w:val="%1."/>
      <w:lvlJc w:val="left"/>
      <w:pPr>
        <w:ind w:left="540" w:hanging="300"/>
      </w:pPr>
    </w:lvl>
  </w:abstractNum>
  <w:abstractNum w:abstractNumId="6" w15:restartNumberingAfterBreak="0">
    <w:multiLevelType w:val="hybridMultilevel"/>
    <w:lvl w:ilvl="0" w:tentative="1">
      <w:start w:val="1"/>
      <w:numFmt w:val="decimal"/>
      <w:lvlText w:val="%1."/>
      <w:lvlJc w:val="left"/>
      <w:pPr>
        <w:ind w:left="540" w:hanging="300"/>
      </w:pPr>
    </w:lvl>
  </w:abstractNum>
  <w:abstractNum w:abstractNumId="7" w15:restartNumberingAfterBreak="0">
    <w:multiLevelType w:val="hybridMultilevel"/>
    <w:lvl w:ilvl="0" w:tentative="1">
      <w:start w:val="1"/>
      <w:numFmt w:val="decimal"/>
      <w:lvlText w:val="%1."/>
      <w:lvlJc w:val="left"/>
      <w:pPr>
        <w:ind w:left="540" w:hanging="300"/>
      </w:pPr>
    </w:lvl>
  </w:abstractNum>
  <w:abstractNum w:abstractNumId="8" w15:restartNumberingAfterBreak="0">
    <w:multiLevelType w:val="hybridMultilevel"/>
    <w:lvl w:ilvl="0" w:tentative="1">
      <w:start w:val="1"/>
      <w:numFmt w:val="decimal"/>
      <w:lvlText w:val="%1."/>
      <w:lvlJc w:val="left"/>
      <w:pPr>
        <w:ind w:left="540" w:hanging="300"/>
      </w:pPr>
    </w:lvl>
  </w:abstractNum>
  <w:abstractNum w:abstractNumId="9" w15:restartNumberingAfterBreak="0">
    <w:multiLevelType w:val="hybridMultilevel"/>
    <w:lvl w:ilvl="0" w:tentative="1">
      <w:start w:val="1"/>
      <w:numFmt w:val="decimal"/>
      <w:lvlText w:val="%1."/>
      <w:lvlJc w:val="left"/>
      <w:pPr>
        <w:ind w:left="540" w:hanging="300"/>
      </w:pPr>
    </w:lvl>
  </w:abstractNum>
  <w:abstractNum w:abstractNumId="10" w15:restartNumberingAfterBreak="0">
    <w:multiLevelType w:val="hybridMultilevel"/>
    <w:lvl w:ilvl="0" w:tentative="1">
      <w:start w:val="1"/>
      <w:numFmt w:val="decimal"/>
      <w:lvlText w:val="%1."/>
      <w:lvlJc w:val="left"/>
      <w:pPr>
        <w:ind w:left="540" w:hanging="300"/>
      </w:pPr>
    </w:lvl>
  </w:abstractNum>
  <w:abstractNum w:abstractNumId="11" w15:restartNumberingAfterBreak="0">
    <w:multiLevelType w:val="hybridMultilevel"/>
    <w:lvl w:ilvl="0" w:tentative="1">
      <w:start w:val="1"/>
      <w:numFmt w:val="decimal"/>
      <w:lvlText w:val="%1."/>
      <w:lvlJc w:val="left"/>
      <w:pPr>
        <w:ind w:left="540" w:hanging="300"/>
      </w:pPr>
    </w:lvl>
  </w:abstractNum>
  <w:abstractNum w:abstractNumId="12" w15:restartNumberingAfterBreak="0">
    <w:multiLevelType w:val="hybridMultilevel"/>
    <w:lvl w:ilvl="0" w:tentative="1">
      <w:start w:val="1"/>
      <w:numFmt w:val="decimal"/>
      <w:lvlText w:val="%1."/>
      <w:lvlJc w:val="left"/>
      <w:pPr>
        <w:ind w:left="540" w:hanging="300"/>
      </w:pPr>
    </w:lvl>
  </w:abstractNum>
  <w:abstractNum w:abstractNumId="13" w15:restartNumberingAfterBreak="0">
    <w:multiLevelType w:val="hybridMultilevel"/>
    <w:lvl w:ilvl="0" w:tentative="1">
      <w:start w:val="1"/>
      <w:numFmt w:val="decimal"/>
      <w:lvlText w:val="%1."/>
      <w:lvlJc w:val="left"/>
      <w:pPr>
        <w:ind w:left="540" w:hanging="300"/>
      </w:pPr>
    </w:lvl>
  </w:abstractNum>
  <w:abstractNum w:abstractNumId="14" w15:restartNumberingAfterBreak="0">
    <w:multiLevelType w:val="hybridMultilevel"/>
    <w:lvl w:ilvl="0" w:tentative="1">
      <w:start w:val="1"/>
      <w:numFmt w:val="decimal"/>
      <w:lvlText w:val="%1."/>
      <w:lvlJc w:val="left"/>
      <w:pPr>
        <w:ind w:left="540" w:hanging="300"/>
      </w:pPr>
    </w:lvl>
  </w:abstractNum>
  <w:abstractNum w:abstractNumId="15" w15:restartNumberingAfterBreak="0">
    <w:multiLevelType w:val="hybridMultilevel"/>
    <w:lvl w:ilvl="0" w:tentative="1">
      <w:start w:val="1"/>
      <w:numFmt w:val="decimal"/>
      <w:lvlText w:val="%1."/>
      <w:lvlJc w:val="left"/>
      <w:pPr>
        <w:ind w:left="540" w:hanging="300"/>
      </w:pPr>
    </w:lvl>
  </w:abstractNum>
  <w:abstractNum w:abstractNumId="16" w15:restartNumberingAfterBreak="0">
    <w:multiLevelType w:val="hybridMultilevel"/>
    <w:lvl w:ilvl="0" w:tentative="1">
      <w:start w:val="1"/>
      <w:numFmt w:val="decimal"/>
      <w:lvlText w:val="%1."/>
      <w:lvlJc w:val="left"/>
      <w:pPr>
        <w:ind w:left="540" w:hanging="300"/>
      </w:pPr>
    </w:lvl>
  </w:abstractNum>
  <w:abstractNum w:abstractNumId="17" w15:restartNumberingAfterBreak="0">
    <w:multiLevelType w:val="hybridMultilevel"/>
    <w:lvl w:ilvl="0" w:tentative="1">
      <w:start w:val="1"/>
      <w:numFmt w:val="decimal"/>
      <w:lvlText w:val="%1."/>
      <w:lvlJc w:val="left"/>
      <w:pPr>
        <w:ind w:left="540" w:hanging="300"/>
      </w:pPr>
    </w:lvl>
  </w:abstractNum>
  <w:abstractNum w:abstractNumId="18" w15:restartNumberingAfterBreak="0">
    <w:multiLevelType w:val="hybridMultilevel"/>
    <w:lvl w:ilvl="0" w:tentative="1">
      <w:start w:val="1"/>
      <w:numFmt w:val="decimal"/>
      <w:lvlText w:val="%1."/>
      <w:lvlJc w:val="left"/>
      <w:pPr>
        <w:ind w:left="540" w:hanging="300"/>
      </w:pPr>
    </w:lvl>
  </w:abstractNum>
  <w:abstractNum w:abstractNumId="19" w15:restartNumberingAfterBreak="0">
    <w:multiLevelType w:val="hybridMultilevel"/>
    <w:lvl w:ilvl="0" w:tentative="1">
      <w:start w:val="1"/>
      <w:numFmt w:val="decimal"/>
      <w:lvlText w:val="%1."/>
      <w:lvlJc w:val="left"/>
      <w:pPr>
        <w:ind w:left="540" w:hanging="300"/>
      </w:pPr>
    </w:lvl>
  </w:abstractNum>
  <w:abstractNum w:abstractNumId="20" w15:restartNumberingAfterBreak="0">
    <w:multiLevelType w:val="hybridMultilevel"/>
    <w:lvl w:ilvl="0" w:tentative="1">
      <w:start w:val="1"/>
      <w:numFmt w:val="decimal"/>
      <w:lvlText w:val="%1."/>
      <w:lvlJc w:val="left"/>
      <w:pPr>
        <w:ind w:left="540" w:hanging="300"/>
      </w:pPr>
    </w:lvl>
  </w:abstractNum>
  <w:abstractNum w:abstractNumId="21" w15:restartNumberingAfterBreak="0">
    <w:multiLevelType w:val="hybridMultilevel"/>
    <w:lvl w:ilvl="0" w:tentative="1">
      <w:start w:val="1"/>
      <w:numFmt w:val="decimal"/>
      <w:lvlText w:val="%1."/>
      <w:lvlJc w:val="left"/>
      <w:pPr>
        <w:ind w:left="540" w:hanging="300"/>
      </w:pPr>
    </w:lvl>
  </w:abstractNum>
  <w:abstractNum w:abstractNumId="22" w15:restartNumberingAfterBreak="0">
    <w:multiLevelType w:val="hybridMultilevel"/>
    <w:lvl w:ilvl="0" w:tentative="1">
      <w:start w:val="1"/>
      <w:numFmt w:val="decimal"/>
      <w:lvlText w:val="%1."/>
      <w:lvlJc w:val="left"/>
      <w:pPr>
        <w:ind w:left="540" w:hanging="300"/>
      </w:pPr>
    </w:lvl>
  </w:abstractNum>
  <w:abstractNum w:abstractNumId="23" w15:restartNumberingAfterBreak="0">
    <w:multiLevelType w:val="hybridMultilevel"/>
    <w:lvl w:ilvl="0" w:tentative="1">
      <w:start w:val="1"/>
      <w:numFmt w:val="decimal"/>
      <w:lvlText w:val="%1."/>
      <w:lvlJc w:val="left"/>
      <w:pPr>
        <w:ind w:left="540" w:hanging="300"/>
      </w:pPr>
    </w:lvl>
  </w:abstractNum>
  <w:abstractNum w:abstractNumId="24" w15:restartNumberingAfterBreak="0">
    <w:multiLevelType w:val="hybridMultilevel"/>
    <w:lvl w:ilvl="0" w:tentative="1">
      <w:start w:val="1"/>
      <w:numFmt w:val="decimal"/>
      <w:lvlText w:val="%1."/>
      <w:lvlJc w:val="left"/>
      <w:pPr>
        <w:ind w:left="540" w:hanging="300"/>
      </w:pPr>
    </w:lvl>
  </w:abstractNum>
  <w:abstractNum w:abstractNumId="25" w15:restartNumberingAfterBreak="0">
    <w:multiLevelType w:val="hybridMultilevel"/>
    <w:lvl w:ilvl="0" w:tentative="1">
      <w:start w:val="1"/>
      <w:numFmt w:val="decimal"/>
      <w:lvlText w:val="%1."/>
      <w:lvlJc w:val="left"/>
      <w:pPr>
        <w:ind w:left="540" w:hanging="300"/>
      </w:pPr>
    </w:lvl>
  </w:abstractNum>
  <w:abstractNum w:abstractNumId="26" w15:restartNumberingAfterBreak="0">
    <w:multiLevelType w:val="hybridMultilevel"/>
    <w:lvl w:ilvl="0" w:tentative="1">
      <w:start w:val="1"/>
      <w:numFmt w:val="decimal"/>
      <w:lvlText w:val="%1."/>
      <w:lvlJc w:val="left"/>
      <w:pPr>
        <w:ind w:left="540" w:hanging="300"/>
      </w:pPr>
    </w:lvl>
  </w:abstractNum>
  <w:abstractNum w:abstractNumId="27" w15:restartNumberingAfterBreak="0">
    <w:multiLevelType w:val="hybridMultilevel"/>
    <w:lvl w:ilvl="0" w:tentative="1">
      <w:start w:val="1"/>
      <w:numFmt w:val="decimal"/>
      <w:lvlText w:val="%1."/>
      <w:lvlJc w:val="left"/>
      <w:pPr>
        <w:ind w:left="540" w:hanging="300"/>
      </w:pPr>
    </w:lvl>
  </w:abstractNum>
  <w:abstractNum w:abstractNumId="28" w15:restartNumberingAfterBreak="0">
    <w:multiLevelType w:val="hybridMultilevel"/>
    <w:lvl w:ilvl="0" w:tentative="1">
      <w:start w:val="1"/>
      <w:numFmt w:val="decimal"/>
      <w:lvlText w:val="%1."/>
      <w:lvlJc w:val="left"/>
      <w:pPr>
        <w:ind w:left="540" w:hanging="300"/>
      </w:pPr>
    </w:lvl>
  </w:abstractNum>
  <w:abstractNum w:abstractNumId="29" w15:restartNumberingAfterBreak="0">
    <w:multiLevelType w:val="hybridMultilevel"/>
    <w:lvl w:ilvl="0" w:tentative="1">
      <w:start w:val="1"/>
      <w:numFmt w:val="decimal"/>
      <w:lvlText w:val="%1."/>
      <w:lvlJc w:val="left"/>
      <w:pPr>
        <w:ind w:left="540" w:hanging="300"/>
      </w:pPr>
    </w:lvl>
  </w:abstractNum>
  <w:abstractNum w:abstractNumId="30" w15:restartNumberingAfterBreak="0">
    <w:multiLevelType w:val="hybridMultilevel"/>
    <w:lvl w:ilvl="0" w:tentative="1">
      <w:start w:val="1"/>
      <w:numFmt w:val="decimal"/>
      <w:lvlText w:val="%1."/>
      <w:lvlJc w:val="left"/>
      <w:pPr>
        <w:ind w:left="540" w:hanging="300"/>
      </w:pPr>
    </w:lvl>
  </w:abstractNum>
  <w:abstractNum w:abstractNumId="31" w15:restartNumberingAfterBreak="0">
    <w:multiLevelType w:val="hybridMultilevel"/>
    <w:lvl w:ilvl="0" w:tentative="1">
      <w:start w:val="1"/>
      <w:numFmt w:val="decimal"/>
      <w:lvlText w:val="%1."/>
      <w:lvlJc w:val="left"/>
      <w:pPr>
        <w:ind w:left="540" w:hanging="300"/>
      </w:pPr>
    </w:lvl>
  </w:abstractNum>
  <w:abstractNum w:abstractNumId="32"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827"/>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40" w:before="120"/>
      <w:outlineLvl w:val="0"/>
    </w:pPr>
    <w:rPr>
      <w:rFonts w:ascii="Calibri" w:cs="Calibri" w:eastAsia="Calibri" w:hAnsi="Calibri"/>
      <w:b/>
      <w:bCs/>
      <w:color w:val="070A13"/>
      <w:sz w:val="36"/>
      <w:szCs w:val="36"/>
    </w:rPr>
  </w:style>
  <w:style w:type="paragraph" w:styleId="Heading2">
    <w:name w:val="Heading 2"/>
    <w:basedOn w:val="Normal"/>
    <w:next w:val="Normal"/>
    <w:qFormat/>
    <w:pPr>
      <w:keepNext/>
      <w:spacing w:after="120" w:before="280"/>
      <w:outlineLvl w:val="1"/>
    </w:pPr>
    <w:rPr>
      <w:rFonts w:ascii="Calibri" w:cs="Calibri" w:eastAsia="Calibri" w:hAnsi="Calibri"/>
      <w:b/>
      <w:bCs/>
      <w:color w:val="8A6620"/>
      <w:sz w:val="26"/>
      <w:szCs w:val="26"/>
    </w:rPr>
  </w:style>
  <w:style w:type="paragraph" w:styleId="Heading3">
    <w:name w:val="Heading 3"/>
    <w:basedOn w:val="Normal"/>
    <w:next w:val="Normal"/>
    <w:qFormat/>
    <w:pPr>
      <w:keepNext/>
      <w:spacing w:after="100" w:before="200"/>
      <w:outlineLvl w:val="2"/>
    </w:pPr>
    <w:rPr>
      <w:rFonts w:ascii="Calibri" w:cs="Calibri" w:eastAsia="Calibri" w:hAnsi="Calibri"/>
      <w:b/>
      <w:bCs/>
      <w:color w:val="17766C"/>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c934d0208018355a128f3c9348b3b0420e8ddc7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32bab67dd59ebc2fce9822ffb475f89ec0fad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Modelos DORA</dc:title>
  <dc:creator>AnkoraOne</dc:creator>
  <dc:description>Modelos do Regulamento (UE) 2022/2554</dc:description>
  <cp:lastModifiedBy>Un-named</cp:lastModifiedBy>
  <cp:revision>1</cp:revision>
  <dcterms:created xsi:type="dcterms:W3CDTF">2026-10-27T01:29:30.462Z</dcterms:created>
  <dcterms:modified xsi:type="dcterms:W3CDTF">2026-10-27T01:29:30.462Z</dcterms:modified>
</cp:coreProperties>
</file>

<file path=docProps/custom.xml><?xml version="1.0" encoding="utf-8"?>
<Properties xmlns="http://schemas.openxmlformats.org/officeDocument/2006/custom-properties" xmlns:vt="http://schemas.openxmlformats.org/officeDocument/2006/docPropsVTypes"/>
</file>