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12600" w:hRule="atLeast"/>
        </w:trPr>
        <w:tc>
          <w:tcPr>
            <w:tcW w:type="dxa" w:w="9638"/>
            <w:tcBorders>
              <w:top w:val="none" w:color="070A13" w:sz="0"/>
              <w:left w:val="none" w:color="070A13" w:sz="0"/>
              <w:bottom w:val="none" w:color="070A13" w:sz="0"/>
              <w:right w:val="none" w:color="070A13" w:sz="0"/>
            </w:tcBorders>
            <w:shd w:fill="070A13" w:color="auto" w:val="clear"/>
            <w:tcMar>
              <w:top w:type="dxa" w:w="500"/>
              <w:left w:type="dxa" w:w="500"/>
              <w:bottom w:type="dxa" w:w="500"/>
              <w:right w:type="dxa" w:w="500"/>
            </w:tcMar>
            <w:vAlign w:val="center"/>
          </w:tcPr>
          <w:p>
            <w:pPr>
              <w:spacing w:after="1400"/>
            </w:pPr>
            <w:r>
              <w:drawing>
                <wp:inline distT="0" distB="0" distL="0" distR="0">
                  <wp:extent cx="2857500" cy="647700"/>
                  <wp:effectExtent t="0" r="0" b="0" l="0"/>
                  <wp:docPr id="1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b/>
                <w:bCs/>
                <w:color w:val="CFA04A"/>
                <w:spacing w:val="60"/>
                <w:sz w:val="22"/>
                <w:szCs w:val="22"/>
              </w:rPr>
              <w:t xml:space="preserve">MODELOS E RELATÓRIOS</w:t>
            </w:r>
          </w:p>
          <w:p>
            <w:pPr>
              <w:spacing w:after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6"/>
                <w:szCs w:val="56"/>
              </w:rPr>
              <w:t xml:space="preserve">TISAX</w:t>
            </w:r>
          </w:p>
          <w:p>
            <w:pPr>
              <w:spacing w:after="1600" w:line="300"/>
            </w:pPr>
            <w:r>
              <w:rPr>
                <w:rFonts w:ascii="Calibri" w:cs="Calibri" w:eastAsia="Calibri" w:hAnsi="Calibri"/>
                <w:color w:val="C9CFDA"/>
                <w:sz w:val="24"/>
                <w:szCs w:val="24"/>
              </w:rPr>
              <w:t xml:space="preserve">Definição do âmbito, objetivos de avaliação e plano de preparação. Autoavaliação VDA ISA 6.0.3 no livro Excel.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C9CFDA"/>
                <w:sz w:val="20"/>
                <w:szCs w:val="20"/>
              </w:rPr>
              <w:t xml:space="preserve">Versão 1.0 · outubro de 2026</w:t>
            </w:r>
          </w:p>
          <w:p>
            <w:r>
              <w:rPr>
                <w:rFonts w:ascii="Calibri" w:cs="Calibri" w:eastAsia="Calibri" w:hAnsi="Calibri"/>
                <w:b/>
                <w:bCs/>
                <w:color w:val="CFA04A"/>
                <w:sz w:val="20"/>
                <w:szCs w:val="20"/>
              </w:rPr>
              <w:t xml:space="preserve">app.ankoraone.com</w:t>
            </w:r>
          </w:p>
        </w:tc>
      </w:tr>
    </w:tbl>
    <w:p>
      <w:pPr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 w:line="288"/>
      </w:pPr>
      <w:r>
        <w:rPr>
          <w:rFonts w:ascii="Calibri" w:cs="Calibri" w:eastAsia="Calibri" w:hAnsi="Calibri"/>
          <w:i/>
          <w:iCs/>
          <w:color w:val="5B6474"/>
          <w:sz w:val="18"/>
          <w:szCs w:val="18"/>
        </w:rPr>
        <w:t xml:space="preserve">Se o índice aparecer vazio, atualize os campos no Word (botão direito → Atualizar campo).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Como usar estes modelos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Preparação de uma avaliação TISAX com o catálogo VDA ISA. Os factos do processo vêm do TISAX Participant Handbook (versão 2.8, ENX Association); nenhum texto desse documento é reproduzido. A autoavaliação ISA 6.0.3, com o texto do catálogo, está no livro Excel deste referencial.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4F1EA" w:sz="4"/>
              <w:left w:val="single" w:color="F4F1EA" w:sz="4"/>
              <w:bottom w:val="single" w:color="F4F1EA" w:sz="4"/>
              <w:right w:val="single" w:color="F4F1EA" w:sz="4"/>
            </w:tcBorders>
            <w:shd w:fill="F4F1E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8A6620"/>
              </w:rPr>
              <w:t xml:space="preserve">Licença do catálogo ISA</w:t>
            </w:r>
          </w:p>
          <w:p>
            <w:pPr>
              <w:spacing w:after="60" w:line="276"/>
            </w:pPr>
            <w:r>
              <w:rPr>
                <w:rFonts w:ascii="Calibri" w:cs="Calibri" w:eastAsia="Calibri" w:hAnsi="Calibri"/>
              </w:rPr>
              <w:t xml:space="preserve">O VDA ISA é publicado sob CC BY-ND 4.0, com direitos adicionais. A folha de autoavaliação reproduz o texto sem alterações e com a atribuição exigida. Não traduza nem altere esse texto.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T1 · Definição do âmbito da avaliação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674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Indicação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Fonte</w:t>
            </w:r>
          </w:p>
        </w:tc>
        <w:tc>
          <w:tcPr>
            <w:tcW w:type="dxa" w:w="674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TISAX Participant Handbook, 2.8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Validade das etiquetas</w:t>
            </w:r>
          </w:p>
        </w:tc>
        <w:tc>
          <w:tcPr>
            <w:tcW w:type="dxa" w:w="6747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3 anos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2120"/>
        <w:gridCol w:w="3663"/>
      </w:tblGrid>
      <w:tr>
        <w:trPr>
          <w:tblHeader/>
        </w:trPr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Referência</w:t>
            </w:r>
          </w:p>
        </w:tc>
        <w:tc>
          <w:tcPr>
            <w:tcW w:type="dxa" w:w="366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Preenchimento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Entidade participante e localizações incluídas</w:t>
            </w:r>
          </w:p>
        </w:tc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366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Parceiros que pedem a etiqueta</w:t>
            </w:r>
          </w:p>
        </w:tc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366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Prazo pedido pelo parceiro</w:t>
            </w:r>
          </w:p>
        </w:tc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366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85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Avaliação Simplificada de Grupo (SGA)? Fundamento</w:t>
            </w:r>
          </w:p>
        </w:tc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3663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Objetivos de avaliação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2602"/>
        <w:gridCol w:w="1542"/>
        <w:gridCol w:w="3084"/>
        <w:gridCol w:w="1735"/>
      </w:tblGrid>
      <w:tr>
        <w:trPr>
          <w:tblHeader/>
        </w:trPr>
        <w:tc>
          <w:tcPr>
            <w:tcW w:type="dxa" w:w="67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N.º</w:t>
            </w:r>
          </w:p>
        </w:tc>
        <w:tc>
          <w:tcPr>
            <w:tcW w:type="dxa" w:w="260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Objetivo</w:t>
            </w: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Nível de avaliação</w:t>
            </w:r>
          </w:p>
        </w:tc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Catálogos ISA</w:t>
            </w:r>
          </w:p>
        </w:tc>
        <w:tc>
          <w:tcPr>
            <w:tcW w:type="dxa" w:w="173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Necessário? (sim / não)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260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Info high</w:t>
            </w: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AL2</w:t>
            </w:r>
          </w:p>
        </w:tc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Information Security</w:t>
            </w:r>
          </w:p>
        </w:tc>
        <w:tc>
          <w:tcPr>
            <w:tcW w:type="dxa" w:w="173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67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260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Info very high</w:t>
            </w: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AL3</w:t>
            </w:r>
          </w:p>
        </w:tc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Information Security</w:t>
            </w:r>
          </w:p>
        </w:tc>
        <w:tc>
          <w:tcPr>
            <w:tcW w:type="dxa" w:w="173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67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260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Confidential</w:t>
            </w: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AL2</w:t>
            </w:r>
          </w:p>
        </w:tc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Information Security</w:t>
            </w:r>
          </w:p>
        </w:tc>
        <w:tc>
          <w:tcPr>
            <w:tcW w:type="dxa" w:w="173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67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260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Strictly confidential</w:t>
            </w: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AL3</w:t>
            </w:r>
          </w:p>
        </w:tc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Information Security</w:t>
            </w:r>
          </w:p>
        </w:tc>
        <w:tc>
          <w:tcPr>
            <w:tcW w:type="dxa" w:w="173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67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5</w:t>
            </w:r>
          </w:p>
        </w:tc>
        <w:tc>
          <w:tcPr>
            <w:tcW w:type="dxa" w:w="260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High availability</w:t>
            </w: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AL2</w:t>
            </w:r>
          </w:p>
        </w:tc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Information Security</w:t>
            </w:r>
          </w:p>
        </w:tc>
        <w:tc>
          <w:tcPr>
            <w:tcW w:type="dxa" w:w="173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67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6</w:t>
            </w:r>
          </w:p>
        </w:tc>
        <w:tc>
          <w:tcPr>
            <w:tcW w:type="dxa" w:w="260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Very high availability</w:t>
            </w: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AL3</w:t>
            </w:r>
          </w:p>
        </w:tc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Information Security</w:t>
            </w:r>
          </w:p>
        </w:tc>
        <w:tc>
          <w:tcPr>
            <w:tcW w:type="dxa" w:w="173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67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7</w:t>
            </w:r>
          </w:p>
        </w:tc>
        <w:tc>
          <w:tcPr>
            <w:tcW w:type="dxa" w:w="260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Proto parts</w:t>
            </w: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AL3</w:t>
            </w:r>
          </w:p>
        </w:tc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Prototype Protection</w:t>
            </w:r>
          </w:p>
        </w:tc>
        <w:tc>
          <w:tcPr>
            <w:tcW w:type="dxa" w:w="173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67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8</w:t>
            </w:r>
          </w:p>
        </w:tc>
        <w:tc>
          <w:tcPr>
            <w:tcW w:type="dxa" w:w="260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Proto vehicles</w:t>
            </w: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AL3</w:t>
            </w:r>
          </w:p>
        </w:tc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Prototype Protection</w:t>
            </w:r>
          </w:p>
        </w:tc>
        <w:tc>
          <w:tcPr>
            <w:tcW w:type="dxa" w:w="173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67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9</w:t>
            </w:r>
          </w:p>
        </w:tc>
        <w:tc>
          <w:tcPr>
            <w:tcW w:type="dxa" w:w="260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Test vehicles</w:t>
            </w: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AL2</w:t>
            </w:r>
          </w:p>
        </w:tc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Prototype Protection</w:t>
            </w:r>
          </w:p>
        </w:tc>
        <w:tc>
          <w:tcPr>
            <w:tcW w:type="dxa" w:w="173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67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10</w:t>
            </w:r>
          </w:p>
        </w:tc>
        <w:tc>
          <w:tcPr>
            <w:tcW w:type="dxa" w:w="260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Proto events</w:t>
            </w: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AL2</w:t>
            </w:r>
          </w:p>
        </w:tc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Prototype Protection</w:t>
            </w:r>
          </w:p>
        </w:tc>
        <w:tc>
          <w:tcPr>
            <w:tcW w:type="dxa" w:w="173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67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11</w:t>
            </w:r>
          </w:p>
        </w:tc>
        <w:tc>
          <w:tcPr>
            <w:tcW w:type="dxa" w:w="260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Data</w:t>
            </w: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AL2</w:t>
            </w:r>
          </w:p>
        </w:tc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Information Security, Data Protection</w:t>
            </w:r>
          </w:p>
        </w:tc>
        <w:tc>
          <w:tcPr>
            <w:tcW w:type="dxa" w:w="173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67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12</w:t>
            </w:r>
          </w:p>
        </w:tc>
        <w:tc>
          <w:tcPr>
            <w:tcW w:type="dxa" w:w="260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Special data</w:t>
            </w: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AL3</w:t>
            </w:r>
          </w:p>
        </w:tc>
        <w:tc>
          <w:tcPr>
            <w:tcW w:type="dxa" w:w="308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Information Security, Data Protection</w:t>
            </w:r>
          </w:p>
        </w:tc>
        <w:tc>
          <w:tcPr>
            <w:tcW w:type="dxa" w:w="173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T2 · Plano de preparação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5205"/>
        <w:gridCol w:w="1542"/>
        <w:gridCol w:w="1349"/>
      </w:tblGrid>
      <w:tr>
        <w:trPr>
          <w:tblHeader/>
        </w:trPr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Passo</w:t>
            </w:r>
          </w:p>
        </w:tc>
        <w:tc>
          <w:tcPr>
            <w:tcW w:type="dxa" w:w="520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 que envolve (síntese AnkoraOne)</w:t>
            </w: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Responsável</w:t>
            </w:r>
          </w:p>
        </w:tc>
        <w:tc>
          <w:tcPr>
            <w:tcW w:type="dxa" w:w="1349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 prevista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1. Registration</w:t>
            </w:r>
          </w:p>
        </w:tc>
        <w:tc>
          <w:tcPr>
            <w:tcW w:type="dxa" w:w="520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Registo do participante no portal ENX (sujeito a taxa): dados de contacto e faturação, aceitação dos termos e condições e definição do âmbito da avaliação (assessment scope), incluindo os objetivos de avaliação e as localizações.</w:t>
            </w: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349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2. Assessment</w:t>
            </w:r>
          </w:p>
        </w:tc>
        <w:tc>
          <w:tcPr>
            <w:tcW w:type="dxa" w:w="520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Avaliação: preparação com base no catálogo ISA (autoavaliação), escolha de um audit provider TISAX, realização da(s) avaliação(ões) — no mínimo a avaliação inicial e, em caso de não conformidades, passos adicionais — e emissão do relatório oficial de avaliação TISAX com atribuição de etiquetas (labels) TISAX.</w:t>
            </w: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349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3. Exchange</w:t>
            </w:r>
          </w:p>
        </w:tc>
        <w:tc>
          <w:tcPr>
            <w:tcW w:type="dxa" w:w="5205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Partilha (Exchange): o participante partilha o resultado da avaliação com o(s) parceiro(s) através da plataforma de partilha, escolhendo o nível de acesso ao conteúdo do relatório. O resultado é válido por três anos, após os quais o processo de três passos tem de ser repetido.</w:t>
            </w: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349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</w:tbl>
    <w:p>
      <w:pPr>
        <w:pStyle w:val="Heading2"/>
      </w:pPr>
      <w:r>
        <w:rPr>
          <w:rFonts w:ascii="Calibri" w:cs="Calibri" w:eastAsia="Calibri" w:hAnsi="Calibri"/>
        </w:rPr>
        <w:t xml:space="preserve">Avaliação Simplificada de Grupo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A Avaliação Simplificada de Grupo (Simplified Group Assessment, SGA) é uma opção facultativa para participantes TISAX com muitas localizações e um SGSI centralizado e altamente desenvolvido (a localização principal assegura o cumprimento das regras do SGSI em todas as localizações do âmbito, as localizações dependentes têm um canal fiável de retorno à principal e o seu feedback corresponde às expectativas definidas). Exige pelo menos três localizações no âmbito (recomendam-se pelo menos doze). Existem duas variantes: S-SGA (por amostragem), em que a localização principal é avaliada de forma mais aprofundada, um conjunto de localizações de amostra é verificado e as restantes são verificadas de forma menos aprofundada; e R-SGA (plano rotativo), em que as restantes localizações são verificadas com profundidade semelhante, distribuídas ao longo dos três anos de validade das etiquetas. A R-SGA não está disponível para os objetivos de proteção de protótipos. É necessário cumprir os requisitos adicionais para SGA definidos no ISA e passar uma verificação de pré-condições (extensão da avaliação inicial); só com todos os resultados positivos a SGA é aprovada. A publicação e partilha do resultado são iguais às do processo normal.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3662"/>
        <w:gridCol w:w="1542"/>
        <w:gridCol w:w="2314"/>
      </w:tblGrid>
      <w:tr>
        <w:trPr>
          <w:tblHeader/>
        </w:trPr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Função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Nome e cargo</w:t>
            </w: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dxa" w:w="231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shd w:fill="070A1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Assinatura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Responsável TISAX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231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2120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</w:rPr>
              <w:t xml:space="preserve">Aprovado por</w:t>
            </w:r>
          </w:p>
        </w:tc>
        <w:tc>
          <w:tcPr>
            <w:tcW w:type="dxa" w:w="366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542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2314"/>
            <w:tcBorders>
              <w:top w:val="single" w:color="D9DEE7" w:sz="4"/>
              <w:left w:val="single" w:color="D9DEE7" w:sz="4"/>
              <w:bottom w:val="single" w:color="D9DEE7" w:sz="4"/>
              <w:right w:val="single" w:color="D9DEE7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/>
            </w:pPr>
          </w:p>
        </w:tc>
      </w:tr>
    </w:tbl>
    <w:sectPr>
      <w:headerReference w:type="default" r:id="rId6"/>
      <w:footerReference w:type="default" r:id="rId7"/>
      <w:pgSz w:w="11906" w:h="16838" w:orient="portrait"/>
      <w:pgMar w:top="1300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B6474"/>
        <w:sz w:val="16"/>
        <w:szCs w:val="16"/>
      </w:rPr>
      <w:t xml:space="preserve">Página </w:t>
    </w:r>
    <w:r>
      <w:rPr>
        <w:rFonts w:ascii="Calibri" w:cs="Calibri" w:eastAsia="Calibri" w:hAnsi="Calibri"/>
        <w:color w:val="5B647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EE7" w:sz="4" w:space="6"/>
      </w:pBdr>
    </w:pPr>
    <w:r>
      <w:drawing>
        <wp:inline distT="0" distB="0" distL="0" distR="0">
          <wp:extent cx="1047750" cy="238125"/>
          <wp:effectExtent t="0" r="0" b="0" l="0"/>
          <wp:docPr id="12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775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cs="Calibri" w:eastAsia="Calibri" w:hAnsi="Calibri"/>
        <w:color w:val="5B6474"/>
        <w:sz w:val="16"/>
        <w:szCs w:val="16"/>
      </w:rPr>
      <w:t xml:space="preserve">     Modelos TISAX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827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40" w:before="120"/>
      <w:outlineLvl w:val="0"/>
    </w:pPr>
    <w:rPr>
      <w:rFonts w:ascii="Calibri" w:cs="Calibri" w:eastAsia="Calibri" w:hAnsi="Calibri"/>
      <w:b/>
      <w:bCs/>
      <w:color w:val="070A13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libri" w:cs="Calibri" w:eastAsia="Calibri" w:hAnsi="Calibri"/>
      <w:b/>
      <w:bCs/>
      <w:color w:val="8A6620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Calibri" w:cs="Calibri" w:eastAsia="Calibri" w:hAnsi="Calibri"/>
      <w:b/>
      <w:bCs/>
      <w:color w:val="17766C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c934d0208018355a128f3c9348b3b0420e8ddc7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32bab67dd59ebc2fce9822ffb475f89ec0fad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Modelos TISAX</dc:title>
  <dc:creator>AnkoraOne</dc:creator>
  <dc:description>Preparação da avaliação TISAX</dc:description>
  <cp:lastModifiedBy>Un-named</cp:lastModifiedBy>
  <cp:revision>1</cp:revision>
  <dcterms:created xsi:type="dcterms:W3CDTF">2026-10-27T00:55:03.156Z</dcterms:created>
  <dcterms:modified xsi:type="dcterms:W3CDTF">2026-10-27T00:55:03.156Z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